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592"/>
      </w:tblGrid>
      <w:tr w:rsidR="00060D02" w:rsidRPr="00917182" w14:paraId="04C6BBB0" w14:textId="77777777" w:rsidTr="00AF30E2">
        <w:trPr>
          <w:trHeight w:val="2268"/>
        </w:trPr>
        <w:tc>
          <w:tcPr>
            <w:tcW w:w="2836" w:type="dxa"/>
          </w:tcPr>
          <w:p w14:paraId="3E95CE7A" w14:textId="77777777" w:rsidR="00060D02" w:rsidRDefault="00060D02" w:rsidP="009D6994">
            <w:pPr>
              <w:pStyle w:val="Standard"/>
              <w:jc w:val="center"/>
              <w:rPr>
                <w:b/>
                <w:i/>
                <w:noProof/>
                <w:lang w:val="en-US" w:eastAsia="en-US" w:bidi="ar-SA"/>
              </w:rPr>
            </w:pPr>
          </w:p>
        </w:tc>
        <w:tc>
          <w:tcPr>
            <w:tcW w:w="7592" w:type="dxa"/>
          </w:tcPr>
          <w:p w14:paraId="141F031A" w14:textId="77777777" w:rsidR="00060D02" w:rsidRPr="00917182" w:rsidRDefault="00DE7BAD" w:rsidP="009D6994">
            <w:pPr>
              <w:pStyle w:val="Standard"/>
              <w:jc w:val="center"/>
              <w:rPr>
                <w:b/>
                <w:i/>
                <w:noProof/>
                <w:lang w:val="ru-RU" w:eastAsia="en-US" w:bidi="ar-SA"/>
              </w:rPr>
            </w:pPr>
            <w:r w:rsidRPr="006757F3">
              <w:rPr>
                <w:rFonts w:eastAsia="Times New Roman" w:cs="Times New Roman"/>
                <w:b/>
                <w:color w:val="000000"/>
                <w:sz w:val="40"/>
                <w:szCs w:val="40"/>
                <w:shd w:val="clear" w:color="auto" w:fill="FFFFFF"/>
              </w:rPr>
              <w:t>ПРИВАТНЕ ПІДПРИЄМСТВО АУДИТОРСЬКА КОМПАНІЯ "ДІ ДЖІ КЕЙ ЮКРЕЙН"</w:t>
            </w:r>
          </w:p>
        </w:tc>
      </w:tr>
    </w:tbl>
    <w:p w14:paraId="571B0E1A" w14:textId="77777777" w:rsidR="0037138B" w:rsidRPr="00273814" w:rsidRDefault="000F64CA" w:rsidP="0037138B">
      <w:pPr>
        <w:spacing w:after="0" w:line="240" w:lineRule="auto"/>
        <w:jc w:val="right"/>
        <w:rPr>
          <w:rFonts w:ascii="Times New Roman" w:eastAsia="Times New Roman" w:hAnsi="Times New Roman" w:cs="Times New Roman"/>
          <w:color w:val="000000"/>
          <w:lang w:val="uk-UA"/>
        </w:rPr>
      </w:pPr>
      <w:r w:rsidRPr="005A7414">
        <w:rPr>
          <w:rFonts w:ascii="Times New Roman" w:eastAsia="Times New Roman" w:hAnsi="Times New Roman" w:cs="Times New Roman"/>
          <w:color w:val="000000"/>
          <w:sz w:val="16"/>
          <w:lang w:val="uk-UA"/>
        </w:rPr>
        <w:t xml:space="preserve">                     </w:t>
      </w:r>
      <w:r w:rsidR="0037138B" w:rsidRPr="00273814">
        <w:rPr>
          <w:rFonts w:ascii="Times New Roman" w:eastAsia="Times New Roman" w:hAnsi="Times New Roman" w:cs="Times New Roman"/>
          <w:color w:val="000000"/>
          <w:lang w:val="uk-UA"/>
        </w:rPr>
        <w:t>Свідоцтво про включення до Реєстру</w:t>
      </w:r>
    </w:p>
    <w:p w14:paraId="43F8DA01" w14:textId="77777777" w:rsidR="0037138B" w:rsidRPr="00273814" w:rsidRDefault="0037138B" w:rsidP="0037138B">
      <w:pPr>
        <w:spacing w:after="0" w:line="240" w:lineRule="auto"/>
        <w:jc w:val="right"/>
        <w:rPr>
          <w:rFonts w:ascii="Times New Roman" w:eastAsia="Times New Roman" w:hAnsi="Times New Roman" w:cs="Times New Roman"/>
          <w:color w:val="000000"/>
          <w:lang w:val="uk-UA"/>
        </w:rPr>
      </w:pPr>
      <w:r w:rsidRPr="00273814">
        <w:rPr>
          <w:rFonts w:ascii="Times New Roman" w:eastAsia="Times New Roman" w:hAnsi="Times New Roman" w:cs="Times New Roman"/>
          <w:color w:val="000000"/>
          <w:lang w:val="uk-UA"/>
        </w:rPr>
        <w:t xml:space="preserve"> аудиторських фірм та аудиторів  № 0238 від 26.01.2001р. №98 </w:t>
      </w:r>
    </w:p>
    <w:p w14:paraId="3CD03B0B" w14:textId="77777777" w:rsidR="0037138B" w:rsidRPr="001114E5" w:rsidRDefault="0037138B" w:rsidP="0037138B">
      <w:pPr>
        <w:spacing w:after="0" w:line="240" w:lineRule="auto"/>
        <w:jc w:val="right"/>
        <w:rPr>
          <w:rFonts w:ascii="Times New Roman" w:eastAsia="Times New Roman" w:hAnsi="Times New Roman" w:cs="Times New Roman"/>
          <w:color w:val="000000"/>
          <w:shd w:val="clear" w:color="auto" w:fill="FFFFFF"/>
          <w:lang w:val="uk-UA"/>
        </w:rPr>
      </w:pPr>
      <w:r w:rsidRPr="00273814">
        <w:rPr>
          <w:rFonts w:ascii="Times New Roman" w:eastAsia="Times New Roman" w:hAnsi="Times New Roman" w:cs="Times New Roman"/>
          <w:color w:val="000000"/>
          <w:shd w:val="clear" w:color="auto" w:fill="FFFFFF"/>
          <w:lang w:val="uk-UA"/>
        </w:rPr>
        <w:t>Україна, 04070, місто Київ, вул. Братська, будинок 5, квартира 11</w:t>
      </w:r>
      <w:r w:rsidRPr="001114E5">
        <w:rPr>
          <w:rFonts w:ascii="Times New Roman" w:eastAsia="Times New Roman" w:hAnsi="Times New Roman" w:cs="Times New Roman"/>
          <w:color w:val="000000"/>
          <w:shd w:val="clear" w:color="auto" w:fill="FFFFFF"/>
          <w:lang w:val="uk-UA"/>
        </w:rPr>
        <w:t xml:space="preserve"> </w:t>
      </w:r>
    </w:p>
    <w:p w14:paraId="1B75F74E" w14:textId="77777777" w:rsidR="00E67DC1" w:rsidRPr="005A7414" w:rsidRDefault="00E67DC1" w:rsidP="0037138B">
      <w:pPr>
        <w:spacing w:after="0" w:line="240" w:lineRule="auto"/>
        <w:jc w:val="right"/>
        <w:rPr>
          <w:rFonts w:ascii="Times New Roman" w:eastAsia="Times New Roman" w:hAnsi="Times New Roman" w:cs="Times New Roman"/>
          <w:sz w:val="16"/>
          <w:lang w:val="uk-UA"/>
        </w:rPr>
      </w:pPr>
    </w:p>
    <w:p w14:paraId="179D2ACE" w14:textId="77777777" w:rsidR="00E67DC1" w:rsidRPr="005A7414" w:rsidRDefault="00E67DC1">
      <w:pPr>
        <w:spacing w:after="0" w:line="240" w:lineRule="auto"/>
        <w:jc w:val="both"/>
        <w:rPr>
          <w:rFonts w:ascii="Times New Roman" w:eastAsia="Times New Roman" w:hAnsi="Times New Roman" w:cs="Times New Roman"/>
          <w:sz w:val="16"/>
          <w:lang w:val="uk-UA"/>
        </w:rPr>
      </w:pPr>
    </w:p>
    <w:p w14:paraId="037FCE8C" w14:textId="77777777" w:rsidR="00E67DC1" w:rsidRDefault="000F64CA">
      <w:pPr>
        <w:keepNext/>
        <w:spacing w:before="240" w:after="60" w:line="240" w:lineRule="auto"/>
        <w:rPr>
          <w:rFonts w:ascii="Times New Roman" w:eastAsia="Times New Roman" w:hAnsi="Times New Roman" w:cs="Times New Roman"/>
          <w:b/>
          <w:sz w:val="16"/>
          <w:lang w:val="uk-UA"/>
        </w:rPr>
      </w:pPr>
      <w:r w:rsidRPr="005A7414">
        <w:rPr>
          <w:rFonts w:ascii="Times New Roman" w:eastAsia="Times New Roman" w:hAnsi="Times New Roman" w:cs="Times New Roman"/>
          <w:b/>
          <w:sz w:val="16"/>
          <w:lang w:val="uk-UA"/>
        </w:rPr>
        <w:t xml:space="preserve">                                </w:t>
      </w:r>
    </w:p>
    <w:p w14:paraId="59237CB1" w14:textId="77777777" w:rsidR="007F11DB" w:rsidRPr="005A7414" w:rsidRDefault="007F11DB">
      <w:pPr>
        <w:keepNext/>
        <w:spacing w:before="240" w:after="60" w:line="240" w:lineRule="auto"/>
        <w:rPr>
          <w:rFonts w:ascii="Times New Roman" w:eastAsia="Times New Roman" w:hAnsi="Times New Roman" w:cs="Times New Roman"/>
          <w:b/>
          <w:sz w:val="16"/>
          <w:lang w:val="uk-UA"/>
        </w:rPr>
      </w:pPr>
    </w:p>
    <w:p w14:paraId="4173761B" w14:textId="77777777" w:rsidR="000603C4" w:rsidRDefault="00DE7BAD" w:rsidP="00327FD7">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Акціонерам</w:t>
      </w:r>
      <w:r w:rsidR="0045011E" w:rsidRPr="005A7414">
        <w:rPr>
          <w:rFonts w:ascii="Times New Roman" w:hAnsi="Times New Roman" w:cs="Times New Roman"/>
          <w:b/>
          <w:sz w:val="24"/>
          <w:szCs w:val="24"/>
          <w:lang w:val="uk-UA"/>
        </w:rPr>
        <w:t xml:space="preserve"> та керівним посадовим особам</w:t>
      </w:r>
    </w:p>
    <w:p w14:paraId="0586C18E" w14:textId="192CDB22" w:rsidR="00B34FC6" w:rsidRPr="0037138B" w:rsidRDefault="001402BC" w:rsidP="00A44863">
      <w:pPr>
        <w:spacing w:after="0" w:line="240" w:lineRule="auto"/>
        <w:jc w:val="right"/>
        <w:rPr>
          <w:rFonts w:ascii="Times New Roman" w:hAnsi="Times New Roman" w:cs="Times New Roman"/>
          <w:b/>
          <w:sz w:val="24"/>
          <w:szCs w:val="24"/>
          <w:lang w:val="uk-UA"/>
        </w:rPr>
      </w:pPr>
      <w:r w:rsidRPr="00826092">
        <w:rPr>
          <w:rFonts w:ascii="Times New Roman" w:hAnsi="Times New Roman" w:cs="Times New Roman"/>
          <w:b/>
          <w:sz w:val="24"/>
          <w:szCs w:val="24"/>
          <w:lang w:val="uk-UA"/>
        </w:rPr>
        <w:t>Акціонерного</w:t>
      </w:r>
      <w:r w:rsidR="0037138B" w:rsidRPr="00826092">
        <w:rPr>
          <w:rFonts w:ascii="Times New Roman" w:hAnsi="Times New Roman" w:cs="Times New Roman"/>
          <w:b/>
          <w:sz w:val="24"/>
          <w:szCs w:val="24"/>
          <w:lang w:val="uk-UA"/>
        </w:rPr>
        <w:t xml:space="preserve"> </w:t>
      </w:r>
      <w:r w:rsidRPr="00826092">
        <w:rPr>
          <w:rFonts w:ascii="Times New Roman" w:hAnsi="Times New Roman" w:cs="Times New Roman"/>
          <w:b/>
          <w:sz w:val="24"/>
          <w:szCs w:val="24"/>
          <w:lang w:val="uk-UA"/>
        </w:rPr>
        <w:t>товариства</w:t>
      </w:r>
      <w:r w:rsidR="0037138B" w:rsidRPr="00826092">
        <w:rPr>
          <w:rFonts w:ascii="Times New Roman" w:hAnsi="Times New Roman" w:cs="Times New Roman"/>
          <w:b/>
          <w:sz w:val="24"/>
          <w:szCs w:val="24"/>
          <w:lang w:val="uk-UA"/>
        </w:rPr>
        <w:t xml:space="preserve"> «</w:t>
      </w:r>
      <w:r w:rsidRPr="00826092">
        <w:rPr>
          <w:rFonts w:ascii="Times New Roman" w:hAnsi="Times New Roman" w:cs="Times New Roman"/>
          <w:b/>
          <w:sz w:val="24"/>
          <w:szCs w:val="24"/>
          <w:lang w:val="uk-UA"/>
        </w:rPr>
        <w:t>Кременчуцьке кар</w:t>
      </w:r>
      <w:r w:rsidRPr="00826092">
        <w:rPr>
          <w:rFonts w:ascii="Times New Roman" w:hAnsi="Times New Roman" w:cs="Times New Roman"/>
          <w:b/>
          <w:sz w:val="24"/>
          <w:szCs w:val="24"/>
        </w:rPr>
        <w:t>’</w:t>
      </w:r>
      <w:r w:rsidRPr="00826092">
        <w:rPr>
          <w:rFonts w:ascii="Times New Roman" w:hAnsi="Times New Roman" w:cs="Times New Roman"/>
          <w:b/>
          <w:sz w:val="24"/>
          <w:szCs w:val="24"/>
          <w:lang w:val="uk-UA"/>
        </w:rPr>
        <w:t>єроуправління «Кварц</w:t>
      </w:r>
      <w:r w:rsidR="0037138B" w:rsidRPr="00826092">
        <w:rPr>
          <w:rFonts w:ascii="Times New Roman" w:hAnsi="Times New Roman" w:cs="Times New Roman"/>
          <w:b/>
          <w:sz w:val="24"/>
          <w:szCs w:val="24"/>
          <w:lang w:val="uk-UA"/>
        </w:rPr>
        <w:t>»</w:t>
      </w:r>
      <w:r w:rsidR="000C17AE" w:rsidRPr="00826092">
        <w:rPr>
          <w:rFonts w:ascii="Times New Roman" w:hAnsi="Times New Roman" w:cs="Times New Roman"/>
          <w:b/>
          <w:sz w:val="24"/>
          <w:szCs w:val="24"/>
          <w:lang w:val="uk-UA"/>
        </w:rPr>
        <w:t>,</w:t>
      </w:r>
    </w:p>
    <w:p w14:paraId="1DBC0C9A" w14:textId="77777777" w:rsidR="000C17AE" w:rsidRPr="005A7414" w:rsidRDefault="00C91B6F" w:rsidP="000C17AE">
      <w:pPr>
        <w:spacing w:after="0" w:line="240" w:lineRule="auto"/>
        <w:ind w:firstLine="5954"/>
        <w:jc w:val="right"/>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НКЦ</w:t>
      </w:r>
      <w:r w:rsidR="000C17AE">
        <w:rPr>
          <w:rFonts w:ascii="Times New Roman" w:eastAsia="Times New Roman" w:hAnsi="Times New Roman" w:cs="Times New Roman"/>
          <w:b/>
          <w:sz w:val="24"/>
          <w:lang w:val="uk-UA"/>
        </w:rPr>
        <w:t>ПФР</w:t>
      </w:r>
    </w:p>
    <w:p w14:paraId="523C2345" w14:textId="77777777" w:rsidR="00E67DC1" w:rsidRDefault="00E67DC1" w:rsidP="009D6994">
      <w:pPr>
        <w:spacing w:after="0" w:line="240" w:lineRule="auto"/>
        <w:ind w:firstLine="5954"/>
        <w:jc w:val="center"/>
        <w:rPr>
          <w:rFonts w:ascii="Times New Roman" w:eastAsia="Times New Roman" w:hAnsi="Times New Roman" w:cs="Times New Roman"/>
          <w:b/>
          <w:sz w:val="24"/>
          <w:lang w:val="uk-UA"/>
        </w:rPr>
      </w:pPr>
    </w:p>
    <w:p w14:paraId="6821F82A" w14:textId="77777777" w:rsidR="00B34FC6" w:rsidRDefault="00B34FC6" w:rsidP="009D6994">
      <w:pPr>
        <w:spacing w:after="0" w:line="240" w:lineRule="auto"/>
        <w:ind w:firstLine="5954"/>
        <w:jc w:val="center"/>
        <w:rPr>
          <w:rFonts w:ascii="Times New Roman" w:eastAsia="Times New Roman" w:hAnsi="Times New Roman" w:cs="Times New Roman"/>
          <w:b/>
          <w:sz w:val="24"/>
          <w:lang w:val="uk-UA"/>
        </w:rPr>
      </w:pPr>
    </w:p>
    <w:p w14:paraId="7A3A44E3" w14:textId="77777777" w:rsidR="00DE7BAD" w:rsidRDefault="00DE7BAD" w:rsidP="009D6994">
      <w:pPr>
        <w:spacing w:after="0" w:line="240" w:lineRule="auto"/>
        <w:ind w:firstLine="5954"/>
        <w:jc w:val="center"/>
        <w:rPr>
          <w:rFonts w:ascii="Times New Roman" w:eastAsia="Times New Roman" w:hAnsi="Times New Roman" w:cs="Times New Roman"/>
          <w:b/>
          <w:sz w:val="24"/>
          <w:lang w:val="uk-UA"/>
        </w:rPr>
      </w:pPr>
    </w:p>
    <w:p w14:paraId="2871AC4E" w14:textId="77777777" w:rsidR="00DE7BAD" w:rsidRDefault="00DE7BAD" w:rsidP="009D6994">
      <w:pPr>
        <w:spacing w:after="0" w:line="240" w:lineRule="auto"/>
        <w:ind w:firstLine="5954"/>
        <w:jc w:val="center"/>
        <w:rPr>
          <w:rFonts w:ascii="Times New Roman" w:eastAsia="Times New Roman" w:hAnsi="Times New Roman" w:cs="Times New Roman"/>
          <w:b/>
          <w:sz w:val="24"/>
          <w:lang w:val="uk-UA"/>
        </w:rPr>
      </w:pPr>
    </w:p>
    <w:p w14:paraId="2BEBFF48" w14:textId="77777777" w:rsidR="009D6994" w:rsidRPr="009D6994" w:rsidRDefault="009D6994" w:rsidP="009D6994">
      <w:pPr>
        <w:spacing w:after="0" w:line="240" w:lineRule="auto"/>
        <w:ind w:firstLine="5954"/>
        <w:jc w:val="center"/>
        <w:rPr>
          <w:rFonts w:ascii="Times New Roman" w:eastAsia="Times New Roman" w:hAnsi="Times New Roman" w:cs="Times New Roman"/>
          <w:sz w:val="24"/>
          <w:lang w:val="uk-UA"/>
        </w:rPr>
      </w:pPr>
    </w:p>
    <w:p w14:paraId="17AD49EC" w14:textId="1F7B111F" w:rsidR="00E67DC1" w:rsidRPr="00081977" w:rsidRDefault="000F64CA" w:rsidP="009B6197">
      <w:pPr>
        <w:spacing w:after="0" w:line="240" w:lineRule="auto"/>
        <w:jc w:val="both"/>
        <w:rPr>
          <w:rFonts w:ascii="Times New Roman" w:eastAsia="Times New Roman" w:hAnsi="Times New Roman" w:cs="Times New Roman"/>
          <w:color w:val="FF0000"/>
          <w:sz w:val="24"/>
          <w:shd w:val="clear" w:color="auto" w:fill="FFFF00"/>
          <w:lang w:val="uk-UA"/>
        </w:rPr>
      </w:pPr>
      <w:r w:rsidRPr="005A7414">
        <w:rPr>
          <w:rFonts w:ascii="Times New Roman" w:eastAsia="Times New Roman" w:hAnsi="Times New Roman" w:cs="Times New Roman"/>
          <w:sz w:val="24"/>
          <w:lang w:val="uk-UA"/>
        </w:rPr>
        <w:t>м. К</w:t>
      </w:r>
      <w:r w:rsidR="0045011E" w:rsidRPr="005A7414">
        <w:rPr>
          <w:rFonts w:ascii="Times New Roman" w:eastAsia="Times New Roman" w:hAnsi="Times New Roman" w:cs="Times New Roman"/>
          <w:sz w:val="24"/>
          <w:lang w:val="uk-UA"/>
        </w:rPr>
        <w:t>иїв</w:t>
      </w:r>
      <w:r w:rsidR="0045011E" w:rsidRPr="005A7414">
        <w:rPr>
          <w:rFonts w:ascii="Times New Roman" w:eastAsia="Times New Roman" w:hAnsi="Times New Roman" w:cs="Times New Roman"/>
          <w:sz w:val="24"/>
          <w:lang w:val="uk-UA"/>
        </w:rPr>
        <w:tab/>
      </w:r>
      <w:r w:rsidR="0045011E" w:rsidRPr="005A7414">
        <w:rPr>
          <w:rFonts w:ascii="Times New Roman" w:eastAsia="Times New Roman" w:hAnsi="Times New Roman" w:cs="Times New Roman"/>
          <w:sz w:val="24"/>
          <w:lang w:val="uk-UA"/>
        </w:rPr>
        <w:tab/>
      </w:r>
      <w:r w:rsidR="0045011E" w:rsidRPr="005A7414">
        <w:rPr>
          <w:rFonts w:ascii="Times New Roman" w:eastAsia="Times New Roman" w:hAnsi="Times New Roman" w:cs="Times New Roman"/>
          <w:sz w:val="24"/>
          <w:lang w:val="uk-UA"/>
        </w:rPr>
        <w:tab/>
      </w:r>
      <w:r w:rsidR="0045011E" w:rsidRPr="005A7414">
        <w:rPr>
          <w:rFonts w:ascii="Times New Roman" w:eastAsia="Times New Roman" w:hAnsi="Times New Roman" w:cs="Times New Roman"/>
          <w:sz w:val="24"/>
          <w:lang w:val="uk-UA"/>
        </w:rPr>
        <w:tab/>
      </w:r>
      <w:r w:rsidR="0045011E" w:rsidRPr="005A7414">
        <w:rPr>
          <w:rFonts w:ascii="Times New Roman" w:eastAsia="Times New Roman" w:hAnsi="Times New Roman" w:cs="Times New Roman"/>
          <w:sz w:val="24"/>
          <w:lang w:val="uk-UA"/>
        </w:rPr>
        <w:tab/>
        <w:t xml:space="preserve">                                </w:t>
      </w:r>
      <w:r w:rsidR="00E61B3B">
        <w:rPr>
          <w:rFonts w:ascii="Times New Roman" w:eastAsia="Times New Roman" w:hAnsi="Times New Roman" w:cs="Times New Roman"/>
          <w:sz w:val="24"/>
          <w:lang w:val="uk-UA"/>
        </w:rPr>
        <w:t xml:space="preserve">           </w:t>
      </w:r>
      <w:r w:rsidR="00D7442C">
        <w:rPr>
          <w:rFonts w:ascii="Times New Roman" w:eastAsia="Times New Roman" w:hAnsi="Times New Roman" w:cs="Times New Roman"/>
          <w:sz w:val="24"/>
          <w:lang w:val="uk-UA"/>
        </w:rPr>
        <w:t xml:space="preserve">     </w:t>
      </w:r>
      <w:r w:rsidR="00FE0D06">
        <w:rPr>
          <w:rFonts w:ascii="Times New Roman" w:eastAsia="Times New Roman" w:hAnsi="Times New Roman" w:cs="Times New Roman"/>
          <w:sz w:val="24"/>
          <w:lang w:val="uk-UA"/>
        </w:rPr>
        <w:t xml:space="preserve">  </w:t>
      </w:r>
      <w:r w:rsidR="00AF30E2">
        <w:rPr>
          <w:rFonts w:ascii="Times New Roman" w:eastAsia="Times New Roman" w:hAnsi="Times New Roman" w:cs="Times New Roman"/>
          <w:sz w:val="24"/>
          <w:lang w:val="uk-UA"/>
        </w:rPr>
        <w:t xml:space="preserve">            </w:t>
      </w:r>
      <w:r w:rsidR="0037138B">
        <w:rPr>
          <w:rFonts w:ascii="Times New Roman" w:eastAsia="Times New Roman" w:hAnsi="Times New Roman" w:cs="Times New Roman"/>
          <w:sz w:val="24"/>
          <w:lang w:val="uk-UA"/>
        </w:rPr>
        <w:t xml:space="preserve">         </w:t>
      </w:r>
      <w:r w:rsidR="00DE7BAD">
        <w:rPr>
          <w:rFonts w:ascii="Times New Roman" w:eastAsia="Times New Roman" w:hAnsi="Times New Roman" w:cs="Times New Roman"/>
          <w:sz w:val="24"/>
          <w:lang w:val="uk-UA"/>
        </w:rPr>
        <w:t xml:space="preserve"> </w:t>
      </w:r>
      <w:r w:rsidR="001509FD" w:rsidRPr="001509FD">
        <w:rPr>
          <w:rFonts w:ascii="Times New Roman" w:eastAsia="Times New Roman" w:hAnsi="Times New Roman" w:cs="Times New Roman"/>
          <w:sz w:val="24"/>
          <w:lang w:val="uk-UA"/>
        </w:rPr>
        <w:t>05</w:t>
      </w:r>
      <w:r w:rsidR="008A35B6" w:rsidRPr="001509FD">
        <w:rPr>
          <w:rFonts w:ascii="Times New Roman" w:eastAsia="Times New Roman" w:hAnsi="Times New Roman" w:cs="Times New Roman"/>
          <w:sz w:val="24"/>
          <w:lang w:val="uk-UA"/>
        </w:rPr>
        <w:t xml:space="preserve"> </w:t>
      </w:r>
      <w:r w:rsidR="001509FD" w:rsidRPr="001509FD">
        <w:rPr>
          <w:rFonts w:ascii="Times New Roman" w:eastAsia="Times New Roman" w:hAnsi="Times New Roman" w:cs="Times New Roman"/>
          <w:sz w:val="24"/>
          <w:lang w:val="uk-UA"/>
        </w:rPr>
        <w:t>квітн</w:t>
      </w:r>
      <w:r w:rsidR="001509FD">
        <w:rPr>
          <w:rFonts w:ascii="Times New Roman" w:eastAsia="Times New Roman" w:hAnsi="Times New Roman" w:cs="Times New Roman"/>
          <w:sz w:val="24"/>
          <w:lang w:val="uk-UA"/>
        </w:rPr>
        <w:t>я</w:t>
      </w:r>
      <w:r w:rsidR="0037138B">
        <w:rPr>
          <w:rFonts w:ascii="Times New Roman" w:eastAsia="Times New Roman" w:hAnsi="Times New Roman" w:cs="Times New Roman"/>
          <w:sz w:val="24"/>
          <w:lang w:val="uk-UA"/>
        </w:rPr>
        <w:t xml:space="preserve"> </w:t>
      </w:r>
      <w:r w:rsidR="0045011E" w:rsidRPr="0050205D">
        <w:rPr>
          <w:rFonts w:ascii="Times New Roman" w:eastAsia="Times New Roman" w:hAnsi="Times New Roman" w:cs="Times New Roman"/>
          <w:sz w:val="24"/>
          <w:lang w:val="uk-UA"/>
        </w:rPr>
        <w:t>202</w:t>
      </w:r>
      <w:r w:rsidR="00DE7BAD">
        <w:rPr>
          <w:rFonts w:ascii="Times New Roman" w:eastAsia="Times New Roman" w:hAnsi="Times New Roman" w:cs="Times New Roman"/>
          <w:sz w:val="24"/>
          <w:lang w:val="uk-UA"/>
        </w:rPr>
        <w:t>1</w:t>
      </w:r>
      <w:r w:rsidR="0045011E" w:rsidRPr="0050205D">
        <w:rPr>
          <w:rFonts w:ascii="Times New Roman" w:eastAsia="Times New Roman" w:hAnsi="Times New Roman" w:cs="Times New Roman"/>
          <w:sz w:val="24"/>
          <w:lang w:val="uk-UA"/>
        </w:rPr>
        <w:t xml:space="preserve"> р.</w:t>
      </w:r>
    </w:p>
    <w:p w14:paraId="6DF99143" w14:textId="77777777" w:rsidR="00E67DC1" w:rsidRPr="005A7414" w:rsidRDefault="00E67DC1">
      <w:pPr>
        <w:spacing w:after="0" w:line="240" w:lineRule="auto"/>
        <w:jc w:val="both"/>
        <w:rPr>
          <w:rFonts w:ascii="Times New Roman" w:eastAsia="Times New Roman" w:hAnsi="Times New Roman" w:cs="Times New Roman"/>
          <w:sz w:val="24"/>
          <w:lang w:val="uk-UA"/>
        </w:rPr>
      </w:pPr>
    </w:p>
    <w:p w14:paraId="1A46AFD4" w14:textId="77777777" w:rsidR="00E67DC1" w:rsidRPr="005A7414" w:rsidRDefault="00E67DC1">
      <w:pPr>
        <w:spacing w:after="0" w:line="240" w:lineRule="auto"/>
        <w:jc w:val="both"/>
        <w:rPr>
          <w:rFonts w:ascii="Times New Roman" w:eastAsia="Times New Roman" w:hAnsi="Times New Roman" w:cs="Times New Roman"/>
          <w:sz w:val="24"/>
          <w:lang w:val="uk-UA"/>
        </w:rPr>
      </w:pPr>
    </w:p>
    <w:p w14:paraId="24D40E7E" w14:textId="77777777" w:rsidR="00E67DC1" w:rsidRPr="005A7414" w:rsidRDefault="00E67DC1">
      <w:pPr>
        <w:spacing w:after="0" w:line="240" w:lineRule="auto"/>
        <w:jc w:val="both"/>
        <w:rPr>
          <w:rFonts w:ascii="Times New Roman" w:eastAsia="Times New Roman" w:hAnsi="Times New Roman" w:cs="Times New Roman"/>
          <w:sz w:val="24"/>
          <w:lang w:val="uk-UA"/>
        </w:rPr>
      </w:pPr>
    </w:p>
    <w:p w14:paraId="763CAD45" w14:textId="77777777" w:rsidR="00E67DC1" w:rsidRPr="005A7414" w:rsidRDefault="00E67DC1">
      <w:pPr>
        <w:spacing w:after="0" w:line="240" w:lineRule="auto"/>
        <w:jc w:val="both"/>
        <w:rPr>
          <w:rFonts w:ascii="Times New Roman" w:eastAsia="Times New Roman" w:hAnsi="Times New Roman" w:cs="Times New Roman"/>
          <w:sz w:val="24"/>
          <w:lang w:val="uk-UA"/>
        </w:rPr>
      </w:pPr>
    </w:p>
    <w:p w14:paraId="10D0246F" w14:textId="77777777" w:rsidR="00E67DC1" w:rsidRPr="005A7414" w:rsidRDefault="00E67DC1">
      <w:pPr>
        <w:spacing w:after="0" w:line="240" w:lineRule="auto"/>
        <w:jc w:val="both"/>
        <w:rPr>
          <w:rFonts w:ascii="Times New Roman" w:eastAsia="Times New Roman" w:hAnsi="Times New Roman" w:cs="Times New Roman"/>
          <w:sz w:val="24"/>
          <w:lang w:val="uk-UA"/>
        </w:rPr>
      </w:pPr>
    </w:p>
    <w:p w14:paraId="1C126D40" w14:textId="77777777" w:rsidR="00E67DC1" w:rsidRPr="0026145A" w:rsidRDefault="00E67DC1" w:rsidP="0026145A">
      <w:pPr>
        <w:suppressAutoHyphens/>
        <w:spacing w:after="0" w:line="240" w:lineRule="auto"/>
        <w:jc w:val="center"/>
        <w:rPr>
          <w:rFonts w:ascii="Times New Roman" w:eastAsia="Times New Roman" w:hAnsi="Times New Roman" w:cs="Times New Roman"/>
          <w:b/>
          <w:color w:val="000000"/>
          <w:sz w:val="24"/>
          <w:lang w:val="uk-UA"/>
        </w:rPr>
      </w:pPr>
    </w:p>
    <w:p w14:paraId="09F5E933" w14:textId="77777777" w:rsidR="0026145A" w:rsidRDefault="0026145A">
      <w:pPr>
        <w:suppressAutoHyphens/>
        <w:spacing w:after="0" w:line="240" w:lineRule="auto"/>
        <w:jc w:val="center"/>
        <w:rPr>
          <w:rFonts w:ascii="Times New Roman" w:eastAsia="Times New Roman" w:hAnsi="Times New Roman" w:cs="Times New Roman"/>
          <w:b/>
          <w:color w:val="000000"/>
          <w:sz w:val="24"/>
          <w:lang w:val="uk-UA"/>
        </w:rPr>
      </w:pPr>
    </w:p>
    <w:p w14:paraId="39FFFECD" w14:textId="77777777" w:rsidR="00BF5FA1" w:rsidRDefault="00BF5FA1">
      <w:pPr>
        <w:suppressAutoHyphens/>
        <w:spacing w:after="0" w:line="240" w:lineRule="auto"/>
        <w:jc w:val="center"/>
        <w:rPr>
          <w:rFonts w:ascii="Times New Roman" w:eastAsia="Times New Roman" w:hAnsi="Times New Roman" w:cs="Times New Roman"/>
          <w:b/>
          <w:color w:val="000000"/>
          <w:sz w:val="24"/>
          <w:lang w:val="uk-UA"/>
        </w:rPr>
      </w:pPr>
    </w:p>
    <w:p w14:paraId="2CDEDDEF" w14:textId="77777777" w:rsidR="00BF5FA1" w:rsidRDefault="00BF5FA1">
      <w:pPr>
        <w:suppressAutoHyphens/>
        <w:spacing w:after="0" w:line="240" w:lineRule="auto"/>
        <w:jc w:val="center"/>
        <w:rPr>
          <w:rFonts w:ascii="Times New Roman" w:eastAsia="Times New Roman" w:hAnsi="Times New Roman" w:cs="Times New Roman"/>
          <w:b/>
          <w:color w:val="000000"/>
          <w:sz w:val="24"/>
          <w:lang w:val="uk-UA"/>
        </w:rPr>
      </w:pPr>
    </w:p>
    <w:p w14:paraId="7CF4DD08" w14:textId="77777777" w:rsidR="006A3A35" w:rsidRPr="006A76CE" w:rsidRDefault="006A3A35" w:rsidP="006A3A35">
      <w:pPr>
        <w:spacing w:after="0" w:line="240" w:lineRule="auto"/>
        <w:jc w:val="center"/>
        <w:rPr>
          <w:rFonts w:ascii="Times New Roman" w:eastAsia="Times New Roman" w:hAnsi="Times New Roman" w:cs="Times New Roman"/>
          <w:color w:val="000000"/>
          <w:sz w:val="24"/>
          <w:szCs w:val="24"/>
          <w:lang w:val="uk-UA" w:eastAsia="en-US"/>
        </w:rPr>
      </w:pPr>
      <w:r w:rsidRPr="006A3A35">
        <w:rPr>
          <w:rFonts w:ascii="Times New Roman" w:eastAsia="Times New Roman" w:hAnsi="Times New Roman" w:cs="Times New Roman"/>
          <w:color w:val="000000"/>
          <w:sz w:val="24"/>
          <w:szCs w:val="24"/>
          <w:lang w:val="uk-UA" w:eastAsia="en-US"/>
        </w:rPr>
        <w:t xml:space="preserve">Звіт незалежного аудитора щодо </w:t>
      </w:r>
      <w:r w:rsidR="00DE7BAD">
        <w:rPr>
          <w:rFonts w:ascii="Times New Roman" w:eastAsia="Times New Roman" w:hAnsi="Times New Roman" w:cs="Times New Roman"/>
          <w:color w:val="000000"/>
          <w:sz w:val="24"/>
          <w:szCs w:val="24"/>
          <w:lang w:val="uk-UA" w:eastAsia="en-US"/>
        </w:rPr>
        <w:t xml:space="preserve">річної </w:t>
      </w:r>
      <w:r w:rsidRPr="006A76CE">
        <w:rPr>
          <w:rFonts w:ascii="Times New Roman" w:eastAsia="Times New Roman" w:hAnsi="Times New Roman" w:cs="Times New Roman"/>
          <w:color w:val="000000"/>
          <w:sz w:val="24"/>
          <w:szCs w:val="24"/>
          <w:lang w:val="uk-UA" w:eastAsia="en-US"/>
        </w:rPr>
        <w:t xml:space="preserve">фінансової звітності </w:t>
      </w:r>
      <w:bookmarkStart w:id="0" w:name="n29"/>
      <w:bookmarkEnd w:id="0"/>
    </w:p>
    <w:p w14:paraId="58D0797C" w14:textId="4BBF3AE7" w:rsidR="0037138B" w:rsidRPr="00826092" w:rsidRDefault="001402BC" w:rsidP="006A3A35">
      <w:pPr>
        <w:spacing w:after="0" w:line="240" w:lineRule="auto"/>
        <w:jc w:val="center"/>
        <w:rPr>
          <w:rFonts w:ascii="Times New Roman" w:hAnsi="Times New Roman" w:cs="Times New Roman"/>
          <w:bCs/>
          <w:sz w:val="24"/>
          <w:szCs w:val="24"/>
          <w:lang w:val="uk-UA"/>
        </w:rPr>
      </w:pPr>
      <w:r w:rsidRPr="006A76CE">
        <w:rPr>
          <w:rFonts w:ascii="Times New Roman" w:hAnsi="Times New Roman" w:cs="Times New Roman"/>
          <w:bCs/>
          <w:sz w:val="24"/>
          <w:szCs w:val="24"/>
          <w:lang w:val="uk-UA"/>
        </w:rPr>
        <w:t xml:space="preserve">Акціонерного товариства «Кременчуцьке </w:t>
      </w:r>
      <w:r w:rsidRPr="00826092">
        <w:rPr>
          <w:rFonts w:ascii="Times New Roman" w:hAnsi="Times New Roman" w:cs="Times New Roman"/>
          <w:bCs/>
          <w:sz w:val="24"/>
          <w:szCs w:val="24"/>
          <w:lang w:val="uk-UA"/>
        </w:rPr>
        <w:t>кар</w:t>
      </w:r>
      <w:r w:rsidRPr="00826092">
        <w:rPr>
          <w:rFonts w:ascii="Times New Roman" w:hAnsi="Times New Roman" w:cs="Times New Roman"/>
          <w:bCs/>
          <w:sz w:val="24"/>
          <w:szCs w:val="24"/>
        </w:rPr>
        <w:t>’</w:t>
      </w:r>
      <w:r w:rsidRPr="00826092">
        <w:rPr>
          <w:rFonts w:ascii="Times New Roman" w:hAnsi="Times New Roman" w:cs="Times New Roman"/>
          <w:bCs/>
          <w:sz w:val="24"/>
          <w:szCs w:val="24"/>
          <w:lang w:val="uk-UA"/>
        </w:rPr>
        <w:t>єроуправління «Кварц»</w:t>
      </w:r>
    </w:p>
    <w:p w14:paraId="50D1745F" w14:textId="1750E810" w:rsidR="0037138B" w:rsidRPr="00826092" w:rsidRDefault="0037138B" w:rsidP="0037138B">
      <w:pPr>
        <w:spacing w:after="0" w:line="240" w:lineRule="auto"/>
        <w:jc w:val="center"/>
        <w:rPr>
          <w:rFonts w:ascii="Times New Roman" w:eastAsia="Times New Roman" w:hAnsi="Times New Roman" w:cs="Times New Roman"/>
          <w:color w:val="000000"/>
          <w:sz w:val="24"/>
          <w:szCs w:val="24"/>
          <w:lang w:val="uk-UA" w:eastAsia="en-US"/>
        </w:rPr>
      </w:pPr>
      <w:r w:rsidRPr="00826092">
        <w:rPr>
          <w:rFonts w:ascii="Times New Roman" w:eastAsia="Times New Roman" w:hAnsi="Times New Roman" w:cs="Times New Roman"/>
          <w:color w:val="000000"/>
          <w:sz w:val="24"/>
          <w:szCs w:val="24"/>
          <w:lang w:val="uk-UA" w:eastAsia="en-US"/>
        </w:rPr>
        <w:t xml:space="preserve">код ЄДРПОУ </w:t>
      </w:r>
      <w:r w:rsidR="006A76CE" w:rsidRPr="00826092">
        <w:rPr>
          <w:rFonts w:ascii="Times New Roman" w:eastAsia="Times New Roman" w:hAnsi="Times New Roman" w:cs="Times New Roman"/>
          <w:color w:val="000000"/>
          <w:sz w:val="24"/>
          <w:szCs w:val="24"/>
          <w:lang w:val="uk-UA" w:eastAsia="en-US"/>
        </w:rPr>
        <w:t>35328439</w:t>
      </w:r>
      <w:r w:rsidRPr="00826092">
        <w:rPr>
          <w:rFonts w:ascii="Times New Roman" w:eastAsia="Times New Roman" w:hAnsi="Times New Roman" w:cs="Times New Roman"/>
          <w:color w:val="000000"/>
          <w:sz w:val="24"/>
          <w:szCs w:val="24"/>
          <w:lang w:val="uk-UA" w:eastAsia="en-US"/>
        </w:rPr>
        <w:t xml:space="preserve">, </w:t>
      </w:r>
    </w:p>
    <w:p w14:paraId="0E6A30B0" w14:textId="77777777" w:rsidR="0037138B" w:rsidRPr="00826092" w:rsidRDefault="0037138B" w:rsidP="0037138B">
      <w:pPr>
        <w:spacing w:after="0" w:line="240" w:lineRule="auto"/>
        <w:jc w:val="center"/>
        <w:rPr>
          <w:rFonts w:ascii="Times New Roman" w:eastAsia="Times New Roman" w:hAnsi="Times New Roman" w:cs="Times New Roman"/>
          <w:color w:val="000000"/>
          <w:sz w:val="24"/>
          <w:szCs w:val="24"/>
          <w:lang w:val="uk-UA" w:eastAsia="en-US"/>
        </w:rPr>
      </w:pPr>
      <w:r w:rsidRPr="00826092">
        <w:rPr>
          <w:rFonts w:ascii="Times New Roman" w:eastAsia="Times New Roman" w:hAnsi="Times New Roman" w:cs="Times New Roman"/>
          <w:color w:val="000000"/>
          <w:sz w:val="24"/>
          <w:szCs w:val="24"/>
          <w:lang w:val="uk-UA" w:eastAsia="en-US"/>
        </w:rPr>
        <w:t xml:space="preserve">що зареєстроване за адресою: </w:t>
      </w:r>
    </w:p>
    <w:p w14:paraId="1ADA910E" w14:textId="4FA8FAF2" w:rsidR="0037138B" w:rsidRPr="00826092" w:rsidRDefault="00826092" w:rsidP="0037138B">
      <w:pPr>
        <w:spacing w:after="0" w:line="240" w:lineRule="auto"/>
        <w:jc w:val="center"/>
        <w:rPr>
          <w:rFonts w:ascii="Times New Roman" w:eastAsia="Times New Roman" w:hAnsi="Times New Roman" w:cs="Times New Roman"/>
          <w:color w:val="000000"/>
          <w:sz w:val="24"/>
          <w:szCs w:val="24"/>
          <w:lang w:val="uk-UA" w:eastAsia="en-US"/>
        </w:rPr>
      </w:pPr>
      <w:r w:rsidRPr="00826092">
        <w:rPr>
          <w:rFonts w:ascii="Times New Roman" w:eastAsia="Times New Roman" w:hAnsi="Times New Roman" w:cs="Times New Roman"/>
          <w:color w:val="000000"/>
          <w:sz w:val="24"/>
          <w:szCs w:val="24"/>
          <w:lang w:val="uk-UA" w:eastAsia="en-US"/>
        </w:rPr>
        <w:t>Україна, 39631, Полтавська обл., місто Кременчук, ВУЛИЦЯ КИЇВСЬКА, будинок 85</w:t>
      </w:r>
      <w:r w:rsidR="0037138B" w:rsidRPr="00826092">
        <w:rPr>
          <w:rFonts w:ascii="Times New Roman" w:eastAsia="Times New Roman" w:hAnsi="Times New Roman" w:cs="Times New Roman"/>
          <w:color w:val="000000"/>
          <w:sz w:val="24"/>
          <w:szCs w:val="24"/>
          <w:lang w:val="uk-UA" w:eastAsia="en-US"/>
        </w:rPr>
        <w:t>,</w:t>
      </w:r>
    </w:p>
    <w:p w14:paraId="4DFB73A4" w14:textId="77777777" w:rsidR="0037138B" w:rsidRPr="00763CC6" w:rsidRDefault="0037138B" w:rsidP="0037138B">
      <w:pPr>
        <w:suppressAutoHyphens/>
        <w:spacing w:after="0" w:line="240" w:lineRule="auto"/>
        <w:jc w:val="center"/>
        <w:rPr>
          <w:rFonts w:ascii="Times New Roman" w:eastAsia="Times New Roman" w:hAnsi="Times New Roman" w:cs="Times New Roman"/>
          <w:color w:val="000000"/>
          <w:sz w:val="24"/>
          <w:lang w:val="uk-UA"/>
        </w:rPr>
      </w:pPr>
      <w:r w:rsidRPr="00826092">
        <w:rPr>
          <w:rFonts w:ascii="Times New Roman" w:eastAsia="Times New Roman" w:hAnsi="Times New Roman" w:cs="Times New Roman"/>
          <w:color w:val="000000"/>
          <w:sz w:val="24"/>
          <w:lang w:val="uk-UA"/>
        </w:rPr>
        <w:t>станом на 31.12.2020 р. за 2020</w:t>
      </w:r>
      <w:r w:rsidRPr="005B0B3E">
        <w:rPr>
          <w:rFonts w:ascii="Times New Roman" w:eastAsia="Times New Roman" w:hAnsi="Times New Roman" w:cs="Times New Roman"/>
          <w:color w:val="000000"/>
          <w:sz w:val="24"/>
          <w:lang w:val="uk-UA"/>
        </w:rPr>
        <w:t xml:space="preserve"> р.</w:t>
      </w:r>
    </w:p>
    <w:p w14:paraId="42904534" w14:textId="77777777" w:rsidR="0037138B" w:rsidRPr="0037138B" w:rsidRDefault="0037138B" w:rsidP="0037138B">
      <w:pPr>
        <w:spacing w:after="0" w:line="240" w:lineRule="auto"/>
        <w:jc w:val="center"/>
        <w:rPr>
          <w:rFonts w:ascii="Times New Roman" w:eastAsia="Times New Roman" w:hAnsi="Times New Roman" w:cs="Times New Roman"/>
          <w:color w:val="000000"/>
          <w:sz w:val="24"/>
          <w:szCs w:val="24"/>
          <w:lang w:val="uk-UA" w:eastAsia="en-US"/>
        </w:rPr>
      </w:pPr>
    </w:p>
    <w:p w14:paraId="33BBA193" w14:textId="77777777" w:rsidR="00E67DC1" w:rsidRPr="006A3A35" w:rsidRDefault="00E67DC1" w:rsidP="006A3A35">
      <w:pPr>
        <w:spacing w:after="0" w:line="240" w:lineRule="auto"/>
        <w:jc w:val="center"/>
        <w:rPr>
          <w:rFonts w:ascii="Times New Roman" w:eastAsia="Times New Roman" w:hAnsi="Times New Roman" w:cs="Times New Roman"/>
          <w:color w:val="000000"/>
          <w:sz w:val="24"/>
          <w:szCs w:val="24"/>
          <w:lang w:val="uk-UA" w:eastAsia="en-US"/>
        </w:rPr>
      </w:pPr>
    </w:p>
    <w:p w14:paraId="40325B65" w14:textId="77777777" w:rsidR="0045011E" w:rsidRPr="005A7414" w:rsidRDefault="0045011E">
      <w:pPr>
        <w:spacing w:after="0" w:line="240" w:lineRule="auto"/>
        <w:ind w:left="720"/>
        <w:jc w:val="center"/>
        <w:rPr>
          <w:rFonts w:ascii="Times New Roman" w:eastAsia="Times New Roman" w:hAnsi="Times New Roman" w:cs="Times New Roman"/>
          <w:b/>
          <w:color w:val="000000"/>
          <w:sz w:val="24"/>
          <w:lang w:val="uk-UA"/>
        </w:rPr>
      </w:pPr>
    </w:p>
    <w:p w14:paraId="66E9071C" w14:textId="77777777" w:rsidR="0045011E" w:rsidRPr="005A7414" w:rsidRDefault="0045011E">
      <w:pPr>
        <w:spacing w:after="0" w:line="240" w:lineRule="auto"/>
        <w:ind w:left="720"/>
        <w:jc w:val="center"/>
        <w:rPr>
          <w:rFonts w:ascii="Times New Roman" w:eastAsia="Times New Roman" w:hAnsi="Times New Roman" w:cs="Times New Roman"/>
          <w:b/>
          <w:color w:val="000000"/>
          <w:sz w:val="24"/>
          <w:lang w:val="uk-UA"/>
        </w:rPr>
      </w:pPr>
    </w:p>
    <w:p w14:paraId="14C299B6" w14:textId="77777777" w:rsidR="0045011E" w:rsidRPr="005A7414" w:rsidRDefault="0045011E">
      <w:pPr>
        <w:spacing w:after="0" w:line="240" w:lineRule="auto"/>
        <w:ind w:left="720"/>
        <w:jc w:val="center"/>
        <w:rPr>
          <w:rFonts w:ascii="Times New Roman" w:eastAsia="Times New Roman" w:hAnsi="Times New Roman" w:cs="Times New Roman"/>
          <w:b/>
          <w:color w:val="000000"/>
          <w:sz w:val="24"/>
          <w:lang w:val="uk-UA"/>
        </w:rPr>
      </w:pPr>
    </w:p>
    <w:p w14:paraId="088F9B1C" w14:textId="77777777" w:rsidR="0045011E" w:rsidRPr="005A7414" w:rsidRDefault="0045011E">
      <w:pPr>
        <w:spacing w:after="0" w:line="240" w:lineRule="auto"/>
        <w:ind w:left="720"/>
        <w:jc w:val="center"/>
        <w:rPr>
          <w:rFonts w:ascii="Times New Roman" w:eastAsia="Times New Roman" w:hAnsi="Times New Roman" w:cs="Times New Roman"/>
          <w:b/>
          <w:color w:val="000000"/>
          <w:sz w:val="24"/>
          <w:lang w:val="uk-UA"/>
        </w:rPr>
      </w:pPr>
    </w:p>
    <w:p w14:paraId="083E394C" w14:textId="77777777" w:rsidR="0045011E" w:rsidRPr="005A7414" w:rsidRDefault="0045011E">
      <w:pPr>
        <w:spacing w:after="0" w:line="240" w:lineRule="auto"/>
        <w:ind w:left="720"/>
        <w:jc w:val="center"/>
        <w:rPr>
          <w:rFonts w:ascii="Times New Roman" w:eastAsia="Times New Roman" w:hAnsi="Times New Roman" w:cs="Times New Roman"/>
          <w:b/>
          <w:color w:val="000000"/>
          <w:sz w:val="24"/>
          <w:lang w:val="uk-UA"/>
        </w:rPr>
      </w:pPr>
    </w:p>
    <w:p w14:paraId="5628CDF5" w14:textId="77777777" w:rsidR="0045011E" w:rsidRPr="005A7414" w:rsidRDefault="0045011E">
      <w:pPr>
        <w:spacing w:after="0" w:line="240" w:lineRule="auto"/>
        <w:ind w:left="720"/>
        <w:jc w:val="center"/>
        <w:rPr>
          <w:rFonts w:ascii="Times New Roman" w:eastAsia="Times New Roman" w:hAnsi="Times New Roman" w:cs="Times New Roman"/>
          <w:b/>
          <w:color w:val="000000"/>
          <w:sz w:val="24"/>
          <w:lang w:val="uk-UA"/>
        </w:rPr>
      </w:pPr>
    </w:p>
    <w:p w14:paraId="7672166E" w14:textId="77777777" w:rsidR="0045011E" w:rsidRDefault="0045011E">
      <w:pPr>
        <w:spacing w:after="0" w:line="240" w:lineRule="auto"/>
        <w:ind w:left="720"/>
        <w:jc w:val="center"/>
        <w:rPr>
          <w:rFonts w:ascii="Times New Roman" w:eastAsia="Times New Roman" w:hAnsi="Times New Roman" w:cs="Times New Roman"/>
          <w:b/>
          <w:color w:val="000000"/>
          <w:sz w:val="24"/>
          <w:lang w:val="uk-UA"/>
        </w:rPr>
      </w:pPr>
    </w:p>
    <w:p w14:paraId="11D35F6B" w14:textId="77777777" w:rsidR="00564BED" w:rsidRDefault="00564BED" w:rsidP="006A6B27">
      <w:pPr>
        <w:spacing w:after="0" w:line="360" w:lineRule="auto"/>
        <w:rPr>
          <w:rFonts w:ascii="Times New Roman" w:eastAsia="Times New Roman" w:hAnsi="Times New Roman" w:cs="Times New Roman"/>
          <w:b/>
          <w:color w:val="000000"/>
          <w:sz w:val="24"/>
          <w:lang w:val="uk-UA"/>
        </w:rPr>
      </w:pPr>
    </w:p>
    <w:p w14:paraId="68E36080" w14:textId="77777777" w:rsidR="006748A1" w:rsidRDefault="006748A1" w:rsidP="007F11DB">
      <w:pPr>
        <w:pStyle w:val="Default"/>
        <w:jc w:val="center"/>
        <w:rPr>
          <w:rFonts w:ascii="Times New Roman" w:hAnsi="Times New Roman" w:cs="Times New Roman"/>
          <w:b/>
          <w:color w:val="000000" w:themeColor="text1"/>
          <w:szCs w:val="24"/>
          <w:lang w:val="uk-UA"/>
        </w:rPr>
      </w:pPr>
    </w:p>
    <w:p w14:paraId="10307953" w14:textId="77777777" w:rsidR="006748A1" w:rsidRDefault="006748A1" w:rsidP="007F11DB">
      <w:pPr>
        <w:pStyle w:val="Default"/>
        <w:jc w:val="center"/>
        <w:rPr>
          <w:rFonts w:ascii="Times New Roman" w:hAnsi="Times New Roman" w:cs="Times New Roman"/>
          <w:b/>
          <w:color w:val="000000" w:themeColor="text1"/>
          <w:szCs w:val="24"/>
          <w:lang w:val="uk-UA"/>
        </w:rPr>
      </w:pPr>
    </w:p>
    <w:p w14:paraId="733EBCC8" w14:textId="77777777" w:rsidR="006748A1" w:rsidRDefault="006748A1" w:rsidP="007F11DB">
      <w:pPr>
        <w:pStyle w:val="Default"/>
        <w:jc w:val="center"/>
        <w:rPr>
          <w:rFonts w:ascii="Times New Roman" w:hAnsi="Times New Roman" w:cs="Times New Roman"/>
          <w:b/>
          <w:color w:val="000000" w:themeColor="text1"/>
          <w:szCs w:val="24"/>
          <w:lang w:val="uk-UA"/>
        </w:rPr>
      </w:pPr>
    </w:p>
    <w:p w14:paraId="6888619E" w14:textId="77777777" w:rsidR="006748A1" w:rsidRDefault="006748A1" w:rsidP="007F11DB">
      <w:pPr>
        <w:pStyle w:val="Default"/>
        <w:jc w:val="center"/>
        <w:rPr>
          <w:rFonts w:ascii="Times New Roman" w:hAnsi="Times New Roman" w:cs="Times New Roman"/>
          <w:b/>
          <w:color w:val="000000" w:themeColor="text1"/>
          <w:szCs w:val="24"/>
          <w:lang w:val="uk-UA"/>
        </w:rPr>
      </w:pPr>
    </w:p>
    <w:p w14:paraId="75003D3F" w14:textId="48DD3007" w:rsidR="00AD1AE0" w:rsidRPr="00AF7BE6" w:rsidRDefault="00AD1AE0" w:rsidP="007F11DB">
      <w:pPr>
        <w:pStyle w:val="Default"/>
        <w:jc w:val="center"/>
        <w:rPr>
          <w:rFonts w:ascii="Times New Roman" w:hAnsi="Times New Roman" w:cs="Times New Roman"/>
          <w:b/>
          <w:color w:val="000000" w:themeColor="text1"/>
          <w:szCs w:val="24"/>
          <w:lang w:val="uk-UA"/>
        </w:rPr>
      </w:pPr>
      <w:r w:rsidRPr="00AF7BE6">
        <w:rPr>
          <w:rFonts w:ascii="Times New Roman" w:hAnsi="Times New Roman" w:cs="Times New Roman"/>
          <w:b/>
          <w:color w:val="000000" w:themeColor="text1"/>
          <w:szCs w:val="24"/>
          <w:lang w:val="uk-UA"/>
        </w:rPr>
        <w:lastRenderedPageBreak/>
        <w:t>ЗВІТ НЕЗАЛЕЖНОГО АУДИТОРА</w:t>
      </w:r>
    </w:p>
    <w:p w14:paraId="253A8EA1" w14:textId="77777777" w:rsidR="00AD1AE0" w:rsidRPr="00AF7BE6" w:rsidRDefault="00AD1AE0" w:rsidP="00AD1AE0">
      <w:pPr>
        <w:pStyle w:val="Default"/>
        <w:jc w:val="center"/>
        <w:rPr>
          <w:rFonts w:ascii="Times New Roman" w:hAnsi="Times New Roman" w:cs="Times New Roman"/>
          <w:b/>
          <w:color w:val="000000" w:themeColor="text1"/>
          <w:szCs w:val="24"/>
          <w:lang w:val="uk-UA"/>
        </w:rPr>
      </w:pPr>
      <w:r w:rsidRPr="00AF7BE6">
        <w:rPr>
          <w:rFonts w:ascii="Times New Roman" w:hAnsi="Times New Roman" w:cs="Times New Roman"/>
          <w:b/>
          <w:color w:val="000000" w:themeColor="text1"/>
          <w:szCs w:val="24"/>
          <w:lang w:val="uk-UA"/>
        </w:rPr>
        <w:t xml:space="preserve">щодо </w:t>
      </w:r>
      <w:r w:rsidR="001374E8" w:rsidRPr="00AF7BE6">
        <w:rPr>
          <w:rFonts w:ascii="Times New Roman" w:hAnsi="Times New Roman" w:cs="Times New Roman"/>
          <w:b/>
          <w:color w:val="000000" w:themeColor="text1"/>
          <w:szCs w:val="24"/>
          <w:lang w:val="uk-UA"/>
        </w:rPr>
        <w:t xml:space="preserve">річної </w:t>
      </w:r>
      <w:r w:rsidRPr="00AF7BE6">
        <w:rPr>
          <w:rFonts w:ascii="Times New Roman" w:hAnsi="Times New Roman" w:cs="Times New Roman"/>
          <w:b/>
          <w:color w:val="000000" w:themeColor="text1"/>
          <w:szCs w:val="24"/>
          <w:lang w:val="uk-UA"/>
        </w:rPr>
        <w:t>фінансової звітності</w:t>
      </w:r>
    </w:p>
    <w:p w14:paraId="527E69F7" w14:textId="253F6BAF" w:rsidR="00AD1AE0" w:rsidRPr="00AF7BE6" w:rsidRDefault="009B38E5" w:rsidP="007F11DB">
      <w:pPr>
        <w:spacing w:after="0" w:line="240" w:lineRule="auto"/>
        <w:jc w:val="center"/>
        <w:rPr>
          <w:rFonts w:ascii="Times New Roman" w:hAnsi="Times New Roman" w:cs="Times New Roman"/>
          <w:b/>
          <w:sz w:val="24"/>
          <w:szCs w:val="24"/>
          <w:lang w:val="uk-UA"/>
        </w:rPr>
      </w:pPr>
      <w:r w:rsidRPr="00AF7BE6">
        <w:rPr>
          <w:rFonts w:ascii="Times New Roman" w:hAnsi="Times New Roman" w:cs="Times New Roman"/>
          <w:b/>
          <w:sz w:val="24"/>
          <w:szCs w:val="24"/>
          <w:lang w:val="uk-UA"/>
        </w:rPr>
        <w:t>Акціонерного товариства «Кременчуцьке кар</w:t>
      </w:r>
      <w:r w:rsidRPr="00AF7BE6">
        <w:rPr>
          <w:rFonts w:ascii="Times New Roman" w:hAnsi="Times New Roman" w:cs="Times New Roman"/>
          <w:b/>
          <w:sz w:val="24"/>
          <w:szCs w:val="24"/>
        </w:rPr>
        <w:t>’</w:t>
      </w:r>
      <w:r w:rsidRPr="00AF7BE6">
        <w:rPr>
          <w:rFonts w:ascii="Times New Roman" w:hAnsi="Times New Roman" w:cs="Times New Roman"/>
          <w:b/>
          <w:sz w:val="24"/>
          <w:szCs w:val="24"/>
          <w:lang w:val="uk-UA"/>
        </w:rPr>
        <w:t>єроуправління «Кварц»</w:t>
      </w:r>
      <w:r w:rsidR="00AD1AE0" w:rsidRPr="00AF7BE6">
        <w:rPr>
          <w:rFonts w:ascii="Times New Roman" w:hAnsi="Times New Roman" w:cs="Times New Roman"/>
          <w:b/>
          <w:color w:val="000000" w:themeColor="text1"/>
          <w:szCs w:val="24"/>
          <w:lang w:val="uk-UA"/>
        </w:rPr>
        <w:t>,</w:t>
      </w:r>
    </w:p>
    <w:p w14:paraId="56B3FA67" w14:textId="77777777" w:rsidR="00AD1AE0" w:rsidRPr="00AF7BE6" w:rsidRDefault="00AD1AE0" w:rsidP="00AD1AE0">
      <w:pPr>
        <w:pStyle w:val="Default"/>
        <w:jc w:val="center"/>
        <w:rPr>
          <w:rFonts w:ascii="Times New Roman" w:hAnsi="Times New Roman" w:cs="Times New Roman"/>
          <w:b/>
          <w:color w:val="000000" w:themeColor="text1"/>
          <w:szCs w:val="24"/>
          <w:lang w:val="uk-UA"/>
        </w:rPr>
      </w:pPr>
      <w:r w:rsidRPr="00AF7BE6">
        <w:rPr>
          <w:rFonts w:ascii="Times New Roman" w:hAnsi="Times New Roman" w:cs="Times New Roman"/>
          <w:b/>
          <w:color w:val="000000" w:themeColor="text1"/>
          <w:szCs w:val="24"/>
          <w:lang w:val="uk-UA"/>
        </w:rPr>
        <w:t>станом на 31.12.20</w:t>
      </w:r>
      <w:r w:rsidR="00AF30E2" w:rsidRPr="00AF7BE6">
        <w:rPr>
          <w:rFonts w:ascii="Times New Roman" w:hAnsi="Times New Roman" w:cs="Times New Roman"/>
          <w:b/>
          <w:color w:val="000000" w:themeColor="text1"/>
          <w:szCs w:val="24"/>
          <w:lang w:val="uk-UA"/>
        </w:rPr>
        <w:t>20</w:t>
      </w:r>
      <w:r w:rsidRPr="00AF7BE6">
        <w:rPr>
          <w:rFonts w:ascii="Times New Roman" w:hAnsi="Times New Roman" w:cs="Times New Roman"/>
          <w:b/>
          <w:color w:val="000000" w:themeColor="text1"/>
          <w:szCs w:val="24"/>
          <w:lang w:val="uk-UA"/>
        </w:rPr>
        <w:t xml:space="preserve"> р. за 20</w:t>
      </w:r>
      <w:r w:rsidR="00AF30E2" w:rsidRPr="00AF7BE6">
        <w:rPr>
          <w:rFonts w:ascii="Times New Roman" w:hAnsi="Times New Roman" w:cs="Times New Roman"/>
          <w:b/>
          <w:color w:val="000000" w:themeColor="text1"/>
          <w:szCs w:val="24"/>
          <w:lang w:val="uk-UA"/>
        </w:rPr>
        <w:t>20 рік</w:t>
      </w:r>
      <w:r w:rsidRPr="00AF7BE6">
        <w:rPr>
          <w:rFonts w:ascii="Times New Roman" w:hAnsi="Times New Roman" w:cs="Times New Roman"/>
          <w:b/>
          <w:color w:val="000000" w:themeColor="text1"/>
          <w:szCs w:val="24"/>
          <w:lang w:val="uk-UA"/>
        </w:rPr>
        <w:t xml:space="preserve">  </w:t>
      </w:r>
    </w:p>
    <w:p w14:paraId="519A1ACF" w14:textId="77777777" w:rsidR="00BF5FA1" w:rsidRPr="00AF7BE6" w:rsidRDefault="00BF5FA1" w:rsidP="00C73C17">
      <w:pPr>
        <w:spacing w:after="0" w:line="360" w:lineRule="auto"/>
        <w:jc w:val="center"/>
        <w:rPr>
          <w:rFonts w:ascii="Times New Roman" w:eastAsia="Times New Roman" w:hAnsi="Times New Roman" w:cs="Times New Roman"/>
          <w:b/>
          <w:color w:val="000000"/>
          <w:sz w:val="24"/>
          <w:lang w:val="uk-UA"/>
        </w:rPr>
      </w:pPr>
    </w:p>
    <w:p w14:paraId="2003456D" w14:textId="77777777" w:rsidR="000C17AE" w:rsidRPr="00AF7BE6" w:rsidRDefault="000F64CA" w:rsidP="00562A37">
      <w:pPr>
        <w:spacing w:after="0" w:line="360" w:lineRule="auto"/>
        <w:ind w:firstLine="567"/>
        <w:rPr>
          <w:rFonts w:ascii="Times New Roman" w:eastAsia="Times New Roman" w:hAnsi="Times New Roman" w:cs="Times New Roman"/>
          <w:b/>
          <w:color w:val="000000"/>
          <w:sz w:val="24"/>
          <w:szCs w:val="24"/>
          <w:lang w:val="uk-UA"/>
        </w:rPr>
      </w:pPr>
      <w:r w:rsidRPr="00AF7BE6">
        <w:rPr>
          <w:rFonts w:ascii="Times New Roman" w:eastAsia="Times New Roman" w:hAnsi="Times New Roman" w:cs="Times New Roman"/>
          <w:b/>
          <w:color w:val="000000"/>
          <w:sz w:val="24"/>
          <w:szCs w:val="24"/>
          <w:lang w:val="uk-UA"/>
        </w:rPr>
        <w:t>Адресат</w:t>
      </w:r>
    </w:p>
    <w:p w14:paraId="388B325A" w14:textId="2A60BB64" w:rsidR="00390D24" w:rsidRPr="00AF7BE6" w:rsidRDefault="007E1935" w:rsidP="00F21E10">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Аудиторський </w:t>
      </w:r>
      <w:r w:rsidR="00AF30E2" w:rsidRPr="00AF7BE6">
        <w:rPr>
          <w:rFonts w:ascii="Times New Roman" w:eastAsia="Times New Roman" w:hAnsi="Times New Roman" w:cs="Times New Roman"/>
          <w:color w:val="000000"/>
          <w:lang w:val="uk-UA"/>
        </w:rPr>
        <w:t>висновок</w:t>
      </w:r>
      <w:r w:rsidRPr="00AF7BE6">
        <w:rPr>
          <w:rFonts w:ascii="Times New Roman" w:eastAsia="Times New Roman" w:hAnsi="Times New Roman" w:cs="Times New Roman"/>
          <w:color w:val="000000"/>
          <w:lang w:val="uk-UA"/>
        </w:rPr>
        <w:t xml:space="preserve"> (звіт незалежного аудитора) призначається для керівництва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фінансова звітність якого перевіряється, і може бути використаний для подання до Національної комісії з цінних паперів та ф</w:t>
      </w:r>
      <w:r w:rsidR="00390D24" w:rsidRPr="00AF7BE6">
        <w:rPr>
          <w:rFonts w:ascii="Times New Roman" w:eastAsia="Times New Roman" w:hAnsi="Times New Roman" w:cs="Times New Roman"/>
          <w:color w:val="000000"/>
          <w:lang w:val="uk-UA"/>
        </w:rPr>
        <w:t>ондового ринку (далі – Комісія), та оприлюднення фінансової інформації Товариством.</w:t>
      </w:r>
    </w:p>
    <w:p w14:paraId="4F1772AC" w14:textId="77777777" w:rsidR="00815C08" w:rsidRPr="00AF7BE6" w:rsidRDefault="00815C08" w:rsidP="00390D24">
      <w:pPr>
        <w:pStyle w:val="xl66"/>
        <w:pBdr>
          <w:left w:val="none" w:sz="0" w:space="0" w:color="auto"/>
          <w:bottom w:val="none" w:sz="0" w:space="0" w:color="auto"/>
          <w:right w:val="none" w:sz="0" w:space="0" w:color="auto"/>
        </w:pBdr>
        <w:spacing w:before="0" w:after="0"/>
        <w:textAlignment w:val="auto"/>
        <w:rPr>
          <w:rFonts w:ascii="Times New Roman" w:hAnsi="Times New Roman" w:cs="Times New Roman"/>
          <w:color w:val="000000" w:themeColor="text1"/>
          <w:lang w:val="uk-UA"/>
        </w:rPr>
      </w:pPr>
      <w:r w:rsidRPr="00AF7BE6">
        <w:rPr>
          <w:rFonts w:ascii="Times New Roman" w:hAnsi="Times New Roman" w:cs="Times New Roman"/>
          <w:color w:val="000000" w:themeColor="text1"/>
          <w:lang w:val="uk-UA"/>
        </w:rPr>
        <w:t>І. ЗВІТ ЩОДО ФІНАНСОВОЇ ЗВІТНОСТІ</w:t>
      </w:r>
    </w:p>
    <w:p w14:paraId="5197115E" w14:textId="77777777" w:rsidR="00531A6F" w:rsidRPr="00AF7BE6" w:rsidRDefault="00AF30E2" w:rsidP="00531A6F">
      <w:pPr>
        <w:tabs>
          <w:tab w:val="left" w:pos="1080"/>
        </w:tabs>
        <w:spacing w:after="0" w:line="240" w:lineRule="auto"/>
        <w:ind w:firstLine="709"/>
        <w:jc w:val="both"/>
        <w:rPr>
          <w:rFonts w:ascii="Times New Roman" w:hAnsi="Times New Roman" w:cs="Times New Roman"/>
          <w:b/>
          <w:lang w:val="uk-UA"/>
        </w:rPr>
      </w:pPr>
      <w:r w:rsidRPr="00AF7BE6">
        <w:rPr>
          <w:rFonts w:ascii="Times New Roman" w:hAnsi="Times New Roman" w:cs="Times New Roman"/>
          <w:b/>
          <w:lang w:val="uk-UA"/>
        </w:rPr>
        <w:t>Думка із застереженням</w:t>
      </w:r>
    </w:p>
    <w:p w14:paraId="2B8217AB" w14:textId="77777777" w:rsidR="00AF30E2" w:rsidRPr="00AF7BE6" w:rsidRDefault="00AF30E2" w:rsidP="00531A6F">
      <w:pPr>
        <w:tabs>
          <w:tab w:val="left" w:pos="1080"/>
        </w:tabs>
        <w:spacing w:after="0" w:line="240" w:lineRule="auto"/>
        <w:ind w:firstLine="709"/>
        <w:jc w:val="both"/>
        <w:rPr>
          <w:rFonts w:ascii="Times New Roman" w:hAnsi="Times New Roman" w:cs="Times New Roman"/>
          <w:b/>
          <w:lang w:val="uk-UA"/>
        </w:rPr>
      </w:pPr>
    </w:p>
    <w:p w14:paraId="38D2D0C4" w14:textId="07B549CE" w:rsidR="00AF30E2" w:rsidRPr="00AF7BE6" w:rsidRDefault="00AF30E2" w:rsidP="007F11DB">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Ми провели аудит фінансової звітності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код за ЄДРПОУ</w:t>
      </w:r>
      <w:r w:rsidR="006A76CE" w:rsidRPr="00AF7BE6">
        <w:rPr>
          <w:rFonts w:ascii="Times New Roman" w:eastAsia="Times New Roman" w:hAnsi="Times New Roman" w:cs="Times New Roman"/>
          <w:color w:val="000000"/>
          <w:lang w:val="uk-UA"/>
        </w:rPr>
        <w:t xml:space="preserve"> 35328439</w:t>
      </w:r>
      <w:r w:rsidRPr="00AF7BE6">
        <w:rPr>
          <w:rFonts w:ascii="Times New Roman" w:eastAsia="Times New Roman" w:hAnsi="Times New Roman" w:cs="Times New Roman"/>
          <w:color w:val="000000"/>
          <w:lang w:val="uk-UA"/>
        </w:rPr>
        <w:t>, адреса Товариства:</w:t>
      </w:r>
      <w:r w:rsidR="00B63D4E" w:rsidRPr="00AF7BE6">
        <w:rPr>
          <w:rFonts w:ascii="Times New Roman" w:eastAsia="Times New Roman" w:hAnsi="Times New Roman" w:cs="Times New Roman"/>
          <w:color w:val="000000"/>
          <w:lang w:val="uk-UA"/>
        </w:rPr>
        <w:t xml:space="preserve"> Україна, 39631, Полтавська обл., місто Кременчук, ВУЛИЦЯ КИЇВСЬКА, будинок 85</w:t>
      </w:r>
      <w:r w:rsidRPr="00AF7BE6">
        <w:rPr>
          <w:rFonts w:ascii="Times New Roman" w:eastAsia="Times New Roman" w:hAnsi="Times New Roman" w:cs="Times New Roman"/>
          <w:color w:val="000000"/>
          <w:lang w:val="uk-UA"/>
        </w:rPr>
        <w:t>, що складається з:</w:t>
      </w:r>
    </w:p>
    <w:p w14:paraId="0A9FBA49" w14:textId="77777777" w:rsidR="00AF30E2" w:rsidRPr="00AF7BE6" w:rsidRDefault="00AF30E2" w:rsidP="00AF30E2">
      <w:pPr>
        <w:pStyle w:val="ae"/>
        <w:numPr>
          <w:ilvl w:val="0"/>
          <w:numId w:val="11"/>
        </w:numPr>
        <w:suppressAutoHyphens/>
        <w:spacing w:after="0" w:line="240" w:lineRule="auto"/>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Балансу (Звіт про фінансовий стан) (Форма № 1) станом на 31.12.2020 року; </w:t>
      </w:r>
    </w:p>
    <w:p w14:paraId="2CBA3626" w14:textId="77777777" w:rsidR="00AF30E2" w:rsidRPr="00AF7BE6" w:rsidRDefault="00AF30E2" w:rsidP="00AF30E2">
      <w:pPr>
        <w:pStyle w:val="ae"/>
        <w:numPr>
          <w:ilvl w:val="0"/>
          <w:numId w:val="11"/>
        </w:numPr>
        <w:suppressAutoHyphens/>
        <w:spacing w:after="0" w:line="240" w:lineRule="auto"/>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Звіту про фінансові результати (Звіт про сукупний дохід) (Форма № 2) за 2020 рік; </w:t>
      </w:r>
    </w:p>
    <w:p w14:paraId="7EBC090C" w14:textId="77777777" w:rsidR="00AF30E2" w:rsidRPr="00AF7BE6" w:rsidRDefault="00AF30E2" w:rsidP="00AF30E2">
      <w:pPr>
        <w:pStyle w:val="ae"/>
        <w:numPr>
          <w:ilvl w:val="0"/>
          <w:numId w:val="11"/>
        </w:numPr>
        <w:suppressAutoHyphens/>
        <w:spacing w:after="0" w:line="240" w:lineRule="auto"/>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Звіту про рух грошових коштів (за прямим методом), (Форма № 3) за 2020 рік; </w:t>
      </w:r>
    </w:p>
    <w:p w14:paraId="0EB408E0" w14:textId="77777777" w:rsidR="00AF30E2" w:rsidRPr="00AF7BE6" w:rsidRDefault="00AF30E2" w:rsidP="00AF30E2">
      <w:pPr>
        <w:pStyle w:val="ae"/>
        <w:numPr>
          <w:ilvl w:val="0"/>
          <w:numId w:val="11"/>
        </w:numPr>
        <w:suppressAutoHyphens/>
        <w:spacing w:after="0" w:line="240" w:lineRule="auto"/>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Звіту про власний капітал (Форма № 4) за 2020 рік; </w:t>
      </w:r>
    </w:p>
    <w:p w14:paraId="2BC52210" w14:textId="77777777" w:rsidR="00AF30E2" w:rsidRPr="00AF7BE6" w:rsidRDefault="00AF30E2" w:rsidP="00AF30E2">
      <w:pPr>
        <w:pStyle w:val="ae"/>
        <w:numPr>
          <w:ilvl w:val="0"/>
          <w:numId w:val="11"/>
        </w:numPr>
        <w:suppressAutoHyphens/>
        <w:spacing w:after="0" w:line="240" w:lineRule="auto"/>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Приміток до фінансової звітності</w:t>
      </w:r>
      <w:r w:rsidR="007F11DB" w:rsidRPr="00AF7BE6">
        <w:rPr>
          <w:rFonts w:ascii="Times New Roman" w:eastAsia="Times New Roman" w:hAnsi="Times New Roman" w:cs="Times New Roman"/>
          <w:lang w:val="uk-UA"/>
        </w:rPr>
        <w:t xml:space="preserve"> (Форма №5)</w:t>
      </w:r>
      <w:r w:rsidRPr="00AF7BE6">
        <w:rPr>
          <w:rFonts w:ascii="Times New Roman" w:eastAsia="Times New Roman" w:hAnsi="Times New Roman" w:cs="Times New Roman"/>
          <w:lang w:val="uk-UA"/>
        </w:rPr>
        <w:t xml:space="preserve"> за 2020 рік. </w:t>
      </w:r>
    </w:p>
    <w:p w14:paraId="44B88B7D" w14:textId="7B3EC935" w:rsidR="00133688" w:rsidRPr="00AF7BE6" w:rsidRDefault="00133688" w:rsidP="00133688">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На нашу думку, за винятком можливого впливу питання, описаного у розділі «Основа для думки із застереженням» нашого звіту, фінансова звітність, що додається, відображає достовірно, в усіх суттєвих аспектах фінансовий стан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xml:space="preserve"> на 31 грудня 2020 року, та фінансові результати і грошові потоки за рік, що закінчився зазначеною датою, відповідно до Міжнародних стандартів фінансової звітності (надалі – МСФЗ) та відповідає вимогам чинного законодавства України.</w:t>
      </w:r>
    </w:p>
    <w:p w14:paraId="76CC25C8" w14:textId="77777777" w:rsidR="00531A6F" w:rsidRPr="00AF7BE6" w:rsidRDefault="00531A6F" w:rsidP="00531A6F">
      <w:pPr>
        <w:spacing w:after="0" w:line="240" w:lineRule="auto"/>
        <w:ind w:firstLine="709"/>
        <w:jc w:val="both"/>
        <w:rPr>
          <w:rFonts w:ascii="Times New Roman" w:hAnsi="Times New Roman" w:cs="Times New Roman"/>
          <w:b/>
          <w:color w:val="000000" w:themeColor="text1"/>
          <w:lang w:val="uk-UA"/>
        </w:rPr>
      </w:pPr>
    </w:p>
    <w:p w14:paraId="10D24EAA" w14:textId="77777777" w:rsidR="00AF30E2" w:rsidRPr="00AF7BE6" w:rsidRDefault="00AF30E2" w:rsidP="00AF30E2">
      <w:pPr>
        <w:tabs>
          <w:tab w:val="left" w:pos="1080"/>
        </w:tabs>
        <w:spacing w:after="0" w:line="240" w:lineRule="auto"/>
        <w:ind w:firstLine="709"/>
        <w:jc w:val="both"/>
        <w:rPr>
          <w:rFonts w:ascii="Times New Roman" w:hAnsi="Times New Roman" w:cs="Times New Roman"/>
          <w:b/>
          <w:lang w:val="uk-UA"/>
        </w:rPr>
      </w:pPr>
      <w:r w:rsidRPr="00AF7BE6">
        <w:rPr>
          <w:rFonts w:ascii="Times New Roman" w:hAnsi="Times New Roman" w:cs="Times New Roman"/>
          <w:b/>
          <w:lang w:val="uk-UA"/>
        </w:rPr>
        <w:t>Основа для думки із застереженням</w:t>
      </w:r>
    </w:p>
    <w:p w14:paraId="6F207D89" w14:textId="77777777" w:rsidR="007F11DB" w:rsidRPr="00AF7BE6" w:rsidRDefault="007F11DB" w:rsidP="00AF30E2">
      <w:pPr>
        <w:spacing w:after="0" w:line="240" w:lineRule="auto"/>
        <w:ind w:firstLine="567"/>
        <w:jc w:val="both"/>
        <w:rPr>
          <w:rFonts w:ascii="Times New Roman" w:hAnsi="Times New Roman" w:cs="Times New Roman"/>
          <w:color w:val="000000"/>
          <w:lang w:val="uk-UA"/>
        </w:rPr>
      </w:pPr>
    </w:p>
    <w:p w14:paraId="6E060830" w14:textId="77777777" w:rsidR="000D231A"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(далі – Кодекс РМСЕБ) та етичними вимогами, застосованими в Україні до нашого аудиту фінансової звітності, а також виконали інші обов’язки з етики відповідно до цих вимог та Кодексу РМСЕБ. Ми провели аудит відповідно до обраної Товариством концептуальною основою – Міжнародних стандартів фінансової звітності.</w:t>
      </w:r>
    </w:p>
    <w:p w14:paraId="277C5720" w14:textId="77777777" w:rsidR="009E419D" w:rsidRPr="00AF7BE6" w:rsidRDefault="000D231A" w:rsidP="009A590D">
      <w:pPr>
        <w:spacing w:after="0" w:line="240" w:lineRule="auto"/>
        <w:ind w:firstLine="567"/>
        <w:jc w:val="both"/>
        <w:rPr>
          <w:rFonts w:ascii="Times New Roman" w:hAnsi="Times New Roman" w:cs="Times New Roman"/>
          <w:lang w:val="uk-UA"/>
        </w:rPr>
      </w:pPr>
      <w:r w:rsidRPr="00AF7BE6">
        <w:rPr>
          <w:rFonts w:ascii="Times New Roman" w:hAnsi="Times New Roman" w:cs="Times New Roman"/>
          <w:lang w:val="uk-UA"/>
        </w:rPr>
        <w:t>Ми звертаємо Вашу увагу на існування суттєвої невизначеності, що стосується безперервності діяльності Товариства, а саме: на рядок 1420 «Непокритий збиток» Звіту про фінансовий стан на 31 грудня 2020 року, який вказує на існування у Акціонерного товариства «Кременчуцьке кар’єроуправління «Кварц»</w:t>
      </w:r>
      <w:r w:rsidRPr="00AF7BE6">
        <w:rPr>
          <w:rFonts w:ascii="Times New Roman" w:hAnsi="Times New Roman" w:cs="Times New Roman"/>
          <w:iCs/>
          <w:lang w:val="uk-UA"/>
        </w:rPr>
        <w:t xml:space="preserve"> суттєвого збитку у розмірі 50 524 тисячі гривень.</w:t>
      </w:r>
      <w:r w:rsidRPr="00AF7BE6">
        <w:rPr>
          <w:rFonts w:ascii="Times New Roman" w:hAnsi="Times New Roman" w:cs="Times New Roman"/>
          <w:lang w:val="uk-UA"/>
        </w:rPr>
        <w:t xml:space="preserve"> За звітний 2020 рік </w:t>
      </w:r>
      <w:r w:rsidRPr="00AF7BE6">
        <w:rPr>
          <w:rFonts w:ascii="Times New Roman" w:hAnsi="Times New Roman" w:cs="Times New Roman"/>
          <w:iCs/>
          <w:lang w:val="uk-UA"/>
        </w:rPr>
        <w:t>Товариство</w:t>
      </w:r>
      <w:r w:rsidRPr="00AF7BE6">
        <w:rPr>
          <w:rFonts w:ascii="Times New Roman" w:hAnsi="Times New Roman" w:cs="Times New Roman"/>
          <w:lang w:val="uk-UA"/>
        </w:rPr>
        <w:t xml:space="preserve"> понесло збитки у сумі 11 577 тисяч гривень. Чисті активи товариства становлять мінус 57 086 тисяч гривень, що на 57 865 тисяч гривень менше зареєстрованого (пайового) капіталу (779 тисяч гривень). Відповідно до вимоги  чинного законодавства для акціонерних товариств (Цивільний кодекс України від 16.01.2003р. № 435-IV (частина третя ст.155 ЦКУ)), якщо після закінчення другого та кожного наступного фінансового року вартість чистих активів акціонерного товариства виявиться меншою від статутного капіталу, товариство зобов'язане оголосити про зменшення свого статутного капіталу та зареєструвати відповідні зміни до статуту у встановленому порядку. Якщо вартість чистих активів товариства стає меншою від мінімального розміру статутного капіталу, встановленого законом, товариство підлягає ліквідації. Розрахунок вартості чистих активів здійснено за Методичними рекомендаціями щодо визначення вартості чистих активів акціонерних товариств, затверджених рішенням ДКЦПФР від 17.11.2004 р. № 485.</w:t>
      </w:r>
    </w:p>
    <w:p w14:paraId="68271CB9" w14:textId="03AC3551" w:rsidR="009E419D" w:rsidRPr="00AF7BE6" w:rsidRDefault="009E419D" w:rsidP="009A590D">
      <w:pPr>
        <w:spacing w:after="0"/>
        <w:ind w:firstLine="709"/>
        <w:jc w:val="both"/>
        <w:rPr>
          <w:rFonts w:ascii="Times New Roman" w:hAnsi="Times New Roman" w:cs="Times New Roman"/>
          <w:lang w:val="uk-UA"/>
        </w:rPr>
      </w:pPr>
      <w:r w:rsidRPr="00AF7BE6">
        <w:rPr>
          <w:rFonts w:ascii="Times New Roman" w:hAnsi="Times New Roman" w:cs="Times New Roman"/>
          <w:lang w:val="uk-UA"/>
        </w:rPr>
        <w:t xml:space="preserve">Товариство в рядку 1100 «Запаси» звіту про фінансовий стан на 31 грудня 2020 року відобразило запаси у загальній сумі 19 914 тис. грн. За допомогою альтернативних процедур ми не змогли впевнитися в кількості виробничих запасів, утримуваних на 31 грудня 2020 року, які відображені у звіті про фінансовий </w:t>
      </w:r>
      <w:r w:rsidRPr="00AF7BE6">
        <w:rPr>
          <w:rFonts w:ascii="Times New Roman" w:hAnsi="Times New Roman" w:cs="Times New Roman"/>
          <w:lang w:val="uk-UA"/>
        </w:rPr>
        <w:lastRenderedPageBreak/>
        <w:t>стан у сумі 6 489 тис. грн. У зв</w:t>
      </w:r>
      <w:r w:rsidRPr="00AF7BE6">
        <w:rPr>
          <w:rFonts w:ascii="Times New Roman" w:hAnsi="Times New Roman" w:cs="Times New Roman"/>
        </w:rPr>
        <w:t>’</w:t>
      </w:r>
      <w:r w:rsidRPr="00AF7BE6">
        <w:rPr>
          <w:rFonts w:ascii="Times New Roman" w:hAnsi="Times New Roman" w:cs="Times New Roman"/>
          <w:lang w:val="uk-UA"/>
        </w:rPr>
        <w:t xml:space="preserve">язку з цим ми не змогли визначити, чи була необхідність в яких-небудь коригуваннях запасів та непокритого збитку станом на 31 грудня 2020 р., а також відповідних елементів, які формують звіт про прибутки чи збитки та інший сукупний дохід за період, що закінчився зазначеною датою. </w:t>
      </w:r>
    </w:p>
    <w:p w14:paraId="4C7CF04C" w14:textId="3F85C497" w:rsidR="00133688" w:rsidRPr="00AF7BE6" w:rsidRDefault="009E419D" w:rsidP="009A590D">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lang w:val="uk-UA"/>
        </w:rPr>
        <w:t>Також відповідно до реєстру судових рішень, Товариство має не завершені судові справи, інформацію про які не розкрито у примітках до фінансової звітності за 2020 рік.</w:t>
      </w:r>
      <w:r w:rsidR="00133688" w:rsidRPr="00AF7BE6">
        <w:rPr>
          <w:rFonts w:ascii="Times New Roman" w:hAnsi="Times New Roman" w:cs="Times New Roman"/>
          <w:color w:val="000000"/>
          <w:lang w:val="uk-UA"/>
        </w:rPr>
        <w:t xml:space="preserve"> </w:t>
      </w:r>
    </w:p>
    <w:p w14:paraId="285C51B3"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У зв’язку з чим аудитор не може отримати прийнятні аудиторські докази в достатньому обсязі для обґрунтування думки, проте доходить висновку, що можливий вплив на фінансову звітність невиявлених викривлень, якщо такі є, може бути суттєвим, проте не всеохоплюючим. </w:t>
      </w:r>
    </w:p>
    <w:p w14:paraId="78B708C8"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Управлінський персонал Товариства у фінансовій звітності не навів виключні судження та не провів оцінку макроекономічного впливу, що спричинений пандемією  COVID-19, яка вплинула на економіку не тільки поодиноких підприємств, а в цілому на економіку України та Світу.  </w:t>
      </w:r>
    </w:p>
    <w:p w14:paraId="20D8C8CF"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Наприкінці 2019 року вперше з’явились новини з Китаю про поширення вірусу COVID-19 (коронавірус). У перші кілька місяців 2020 року вірус поширився в усьому світі, викликаючи перебої в бізнесі та економічній діяльності. У березні 2020 року, Всесвітня організація охорони здоров’я визнала ситуацію з коронавірусом пандемією. </w:t>
      </w:r>
    </w:p>
    <w:p w14:paraId="379C7342"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Поширення вірусу мало несприятливий вплив на економічну активність у світі, включаючи падіння на ринках капіталу та різке зниження цін на товари та послуги. Внаслідок цього, українські суверенні кредитні свопи за дефолтами збільшились у березні 2020 року більш ніж удвічі порівняно з 31 грудня 2019 року, та більш ніж утричі від його п'ятирічного історичного мінімуму досягнутого у лютому 2020 року. </w:t>
      </w:r>
    </w:p>
    <w:p w14:paraId="07FE7E73"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У березні 2020 року, уряд України вжив низку обмежувальних заходів для запобігання поширенню вірусу в країні. Зокрема, були встановлені обмеження на громадський транспорт (включаючи міжміські), повітряний рух між певними країнами, роботу громадських установ та громадські заходи. Уряд також закликав бізнес перейти на віддалений режим роботи для своїх працівників. Крім того, 17 березня 2020 року парламент України прийняв нові закони, спрямовані на пом’якшення наслідків коронавірусу. Положення скасовують деякі податкові вимоги, задля пом’якшення  фінансових втрат  для підприємств, робітників та пенсіонерів, постраждалих внаслідок економічного сповільнення. Серед інших змін, Закон пропонує звільнення від штрафних санкцій за порушення податкового законодавства в період з 01 березня по 31 травня. Закон також накладає мораторій на податкові перевірки для підприємств за вказаний період. Кабінет Міністрів України 25 березня 2020 року ввів режим надзвичайної ситуації у всіх областях і продовжив карантинні заходи.</w:t>
      </w:r>
    </w:p>
    <w:p w14:paraId="4945C297"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Обмежувальні заходи, що застосовуються українським урядом, можуть негативно вплинути на загальну економіку України і державний бюджет. Він може надати непрямий негативний вплив на Товариство через зниження попиту на товари Товариства, затримки в погашенні боргів через можливий негативний вплив пандемії на клієнтів, девальвації валюти та ін.</w:t>
      </w:r>
    </w:p>
    <w:p w14:paraId="1446F945"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Отже, все вище наведене, що описано у цьому параграфі «Основа для думки із застереженням» є підставою для формування думки аудитора із застереженням.</w:t>
      </w:r>
    </w:p>
    <w:p w14:paraId="01D57A73"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Ми вважаємо, що отримані нами аудиторські докази є достатніми і прийнятними для використання їх як основи для нашої думки.</w:t>
      </w:r>
    </w:p>
    <w:p w14:paraId="75C751F6" w14:textId="77777777" w:rsidR="00133688" w:rsidRPr="00AF7BE6" w:rsidRDefault="00133688" w:rsidP="00133688">
      <w:pPr>
        <w:tabs>
          <w:tab w:val="left" w:pos="1080"/>
        </w:tabs>
        <w:spacing w:after="0" w:line="240" w:lineRule="auto"/>
        <w:ind w:firstLine="709"/>
        <w:jc w:val="both"/>
        <w:rPr>
          <w:rFonts w:ascii="Times New Roman" w:hAnsi="Times New Roman" w:cs="Times New Roman"/>
          <w:b/>
          <w:lang w:val="uk-UA"/>
        </w:rPr>
      </w:pPr>
    </w:p>
    <w:p w14:paraId="7AA02F72" w14:textId="77777777" w:rsidR="00133688" w:rsidRPr="00AF7BE6" w:rsidRDefault="00133688" w:rsidP="00133688">
      <w:pPr>
        <w:tabs>
          <w:tab w:val="left" w:pos="1080"/>
        </w:tabs>
        <w:spacing w:after="0" w:line="240" w:lineRule="auto"/>
        <w:ind w:firstLine="709"/>
        <w:jc w:val="both"/>
        <w:rPr>
          <w:rFonts w:ascii="Times New Roman" w:hAnsi="Times New Roman" w:cs="Times New Roman"/>
          <w:b/>
          <w:lang w:val="uk-UA"/>
        </w:rPr>
      </w:pPr>
      <w:r w:rsidRPr="00AF7BE6">
        <w:rPr>
          <w:rFonts w:ascii="Times New Roman" w:hAnsi="Times New Roman" w:cs="Times New Roman"/>
          <w:b/>
          <w:lang w:val="uk-UA"/>
        </w:rPr>
        <w:t>Суттєва невизначеність, що стосується безперервності діяльності</w:t>
      </w:r>
    </w:p>
    <w:p w14:paraId="6E491A87" w14:textId="77777777" w:rsidR="00133688" w:rsidRPr="00AF7BE6" w:rsidRDefault="00133688" w:rsidP="00133688">
      <w:pPr>
        <w:tabs>
          <w:tab w:val="left" w:pos="1080"/>
        </w:tabs>
        <w:spacing w:after="0" w:line="240" w:lineRule="auto"/>
        <w:ind w:firstLine="709"/>
        <w:jc w:val="both"/>
        <w:rPr>
          <w:rFonts w:ascii="Times New Roman" w:hAnsi="Times New Roman" w:cs="Times New Roman"/>
          <w:b/>
          <w:lang w:val="uk-UA"/>
        </w:rPr>
      </w:pPr>
    </w:p>
    <w:p w14:paraId="058B9F76"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Не змінюючи нашої думки щодо фінансової звітності, звертаємо Вашу увагу на те, що Товариство здійснює свою діяльність в умовах фінансово-економічної кризи. В результаті нестабільної ситуації в Україні діяльність Товариства супроводжується ризиками.</w:t>
      </w:r>
    </w:p>
    <w:p w14:paraId="5871336E"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w:t>
      </w:r>
    </w:p>
    <w:p w14:paraId="09CEDA55"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Світова пандемія короновірусної хвороби (COVID – 19) та запровадження Кабінетом Міністрів України карантинних та обмежувальних заходів, спрямованих на протидію її подальшого поширення в Україні зумовили виникнення додаткових ризиків діяльності суб’єктів господарювання. </w:t>
      </w:r>
    </w:p>
    <w:p w14:paraId="5F9A9A69" w14:textId="228FBF7F"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Управлінський персонал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xml:space="preserve"> </w:t>
      </w:r>
      <w:r w:rsidRPr="00AF7BE6">
        <w:rPr>
          <w:rFonts w:ascii="Times New Roman" w:hAnsi="Times New Roman" w:cs="Times New Roman"/>
          <w:color w:val="000000"/>
          <w:lang w:val="uk-UA"/>
        </w:rPr>
        <w:t>не ідентифікувало суттєві невизначеності, яка могла б поставити під значний сумнів здатність Товариства безперервно продовжувати діяльність, тому використовувало припущення про безперервність функціонування Товариства, як основи для обліку під час підготовки фінансової звітності, не враховуючи зростаючу невизначеність пов’язану із зміною економічної ситуації та песимістичними прогнозами розвитку світової та національної економіки.</w:t>
      </w:r>
    </w:p>
    <w:p w14:paraId="49229C70"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 xml:space="preserve">Зазначена інформація Товариством не розкрита належним чином у фінансовій звітності складеної станом на 31 грудня 2020 року та за 2020 рік у супереч до концептуальної основи - Міжнародних стандартів фінансової звітності (МСФЗ) та МСА 570 «Безперервність діяльності» (переглянутий), за яким визначається </w:t>
      </w:r>
      <w:r w:rsidRPr="00AF7BE6">
        <w:rPr>
          <w:rFonts w:ascii="Times New Roman" w:hAnsi="Times New Roman" w:cs="Times New Roman"/>
          <w:color w:val="000000"/>
          <w:lang w:val="uk-UA"/>
        </w:rPr>
        <w:lastRenderedPageBreak/>
        <w:t>необхідність розкриття інформації про значущість потенційного впливу таких умов та ймовірність та час їх виникнення.</w:t>
      </w:r>
    </w:p>
    <w:p w14:paraId="4FD85CEA" w14:textId="77777777" w:rsidR="00133688" w:rsidRPr="00AF7BE6" w:rsidRDefault="00133688" w:rsidP="00133688">
      <w:pPr>
        <w:spacing w:after="0" w:line="240" w:lineRule="auto"/>
        <w:ind w:firstLine="567"/>
        <w:jc w:val="both"/>
        <w:rPr>
          <w:rFonts w:ascii="Times New Roman" w:hAnsi="Times New Roman" w:cs="Times New Roman"/>
          <w:color w:val="000000"/>
          <w:lang w:val="uk-UA"/>
        </w:rPr>
      </w:pPr>
      <w:r w:rsidRPr="00AF7BE6">
        <w:rPr>
          <w:rFonts w:ascii="Times New Roman" w:hAnsi="Times New Roman" w:cs="Times New Roman"/>
          <w:color w:val="000000"/>
          <w:lang w:val="uk-UA"/>
        </w:rPr>
        <w:t>Передбачити масштаби впливу ризиків на майбутнє діяльності Товариства на даний момент з достатньою достовірністю неможливо. Тому фінансова звітність не містить коригувань, які могли би бути результатом таких ризиків. Вони будуть відображені у фінансовій звітності, як тільки будуть ідентифіковані і зможуть бути оцінені.</w:t>
      </w:r>
    </w:p>
    <w:p w14:paraId="3A7149E3" w14:textId="77777777" w:rsidR="00DF3DC7" w:rsidRPr="00AF7BE6" w:rsidRDefault="00DF3DC7" w:rsidP="00E73D34">
      <w:pPr>
        <w:spacing w:before="240" w:after="0" w:line="360" w:lineRule="auto"/>
        <w:ind w:firstLine="567"/>
        <w:rPr>
          <w:rFonts w:ascii="Times New Roman" w:eastAsia="Times New Roman" w:hAnsi="Times New Roman" w:cs="Times New Roman"/>
          <w:b/>
          <w:color w:val="000000"/>
          <w:sz w:val="24"/>
          <w:szCs w:val="24"/>
          <w:lang w:val="uk-UA"/>
        </w:rPr>
      </w:pPr>
      <w:r w:rsidRPr="00AF7BE6">
        <w:rPr>
          <w:rFonts w:ascii="Times New Roman" w:eastAsia="Times New Roman" w:hAnsi="Times New Roman" w:cs="Times New Roman"/>
          <w:b/>
          <w:color w:val="000000"/>
          <w:sz w:val="24"/>
          <w:szCs w:val="24"/>
          <w:lang w:val="uk-UA"/>
        </w:rPr>
        <w:t xml:space="preserve">Ключові питання аудиту </w:t>
      </w:r>
    </w:p>
    <w:p w14:paraId="272C4AE1" w14:textId="77777777" w:rsidR="00554E45" w:rsidRPr="00AF7BE6" w:rsidRDefault="00DF3DC7" w:rsidP="00524792">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Ключові питання аудиту – це питання, як</w:t>
      </w:r>
      <w:r w:rsidR="009C215E" w:rsidRPr="00AF7BE6">
        <w:rPr>
          <w:rFonts w:ascii="Times New Roman" w:eastAsia="Times New Roman" w:hAnsi="Times New Roman" w:cs="Times New Roman"/>
          <w:color w:val="000000"/>
          <w:lang w:val="uk-UA"/>
        </w:rPr>
        <w:t>і</w:t>
      </w:r>
      <w:r w:rsidRPr="00AF7BE6">
        <w:rPr>
          <w:rFonts w:ascii="Times New Roman" w:eastAsia="Times New Roman" w:hAnsi="Times New Roman" w:cs="Times New Roman"/>
          <w:color w:val="000000"/>
          <w:lang w:val="uk-UA"/>
        </w:rPr>
        <w:t xml:space="preserve">,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фінансової звітності в цілому та при формуванні думки щодо неї, при цьому ми не висловлюємо окремої думки щодо цих питань. </w:t>
      </w:r>
    </w:p>
    <w:p w14:paraId="6941632A" w14:textId="77777777" w:rsidR="00524792" w:rsidRPr="00AF7BE6" w:rsidRDefault="00524792" w:rsidP="00524792">
      <w:pPr>
        <w:spacing w:after="0" w:line="240" w:lineRule="auto"/>
        <w:ind w:firstLine="567"/>
        <w:jc w:val="both"/>
        <w:rPr>
          <w:rFonts w:ascii="Times New Roman" w:eastAsia="Times New Roman" w:hAnsi="Times New Roman" w:cs="Times New Roman"/>
          <w:color w:val="000000"/>
          <w:lang w:val="uk-UA"/>
        </w:rPr>
      </w:pPr>
    </w:p>
    <w:p w14:paraId="0C8642C3" w14:textId="77777777" w:rsidR="00554E45" w:rsidRPr="00AF7BE6" w:rsidRDefault="00554E45" w:rsidP="00554E45">
      <w:pPr>
        <w:tabs>
          <w:tab w:val="left" w:pos="1080"/>
        </w:tabs>
        <w:spacing w:after="0" w:line="360" w:lineRule="auto"/>
        <w:ind w:firstLine="567"/>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Інша інформація (питання)</w:t>
      </w:r>
    </w:p>
    <w:p w14:paraId="15BBFA06" w14:textId="77777777" w:rsidR="00554E45" w:rsidRPr="00AF7BE6" w:rsidRDefault="00554E45" w:rsidP="00554E45">
      <w:pPr>
        <w:tabs>
          <w:tab w:val="left" w:pos="1080"/>
        </w:tab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ознайомлення з іншою інформацією та при цьому розгляд існування суттєвої невідповідності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14:paraId="67738115" w14:textId="77777777" w:rsidR="00554E45" w:rsidRPr="00AF7BE6" w:rsidRDefault="00554E45" w:rsidP="00554E45">
      <w:pPr>
        <w:tabs>
          <w:tab w:val="left" w:pos="1080"/>
        </w:tab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14:paraId="552BF8B7" w14:textId="77777777" w:rsidR="00554E45" w:rsidRPr="00AF7BE6" w:rsidRDefault="00554E45" w:rsidP="00554E45">
      <w:pPr>
        <w:spacing w:after="0" w:line="240" w:lineRule="auto"/>
        <w:ind w:firstLine="567"/>
        <w:jc w:val="both"/>
        <w:rPr>
          <w:rFonts w:ascii="Times New Roman" w:eastAsia="Times New Roman" w:hAnsi="Times New Roman" w:cs="Times New Roman"/>
          <w:b/>
          <w:color w:val="000000"/>
          <w:lang w:val="uk-UA"/>
        </w:rPr>
      </w:pPr>
    </w:p>
    <w:p w14:paraId="12F16883" w14:textId="77777777" w:rsidR="00554E45" w:rsidRPr="00AF7BE6" w:rsidRDefault="00554E45" w:rsidP="00554E45">
      <w:pPr>
        <w:spacing w:after="0" w:line="240" w:lineRule="auto"/>
        <w:ind w:firstLine="567"/>
        <w:jc w:val="both"/>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Відповідальність управлінського персоналу та тих, кого наділено найвищими повноваженнями, за фінансову звітність</w:t>
      </w:r>
    </w:p>
    <w:p w14:paraId="52432FDF" w14:textId="77777777" w:rsidR="00554E45" w:rsidRPr="00AF7BE6" w:rsidRDefault="00554E45" w:rsidP="00554E45">
      <w:pPr>
        <w:spacing w:after="0" w:line="240" w:lineRule="auto"/>
        <w:ind w:firstLine="709"/>
        <w:jc w:val="center"/>
        <w:rPr>
          <w:rFonts w:ascii="Times New Roman" w:eastAsia="Times New Roman" w:hAnsi="Times New Roman" w:cs="Times New Roman"/>
          <w:color w:val="000000"/>
          <w:lang w:val="uk-UA"/>
        </w:rPr>
      </w:pPr>
    </w:p>
    <w:p w14:paraId="76906662" w14:textId="705E526B" w:rsidR="00554E45" w:rsidRPr="00AF7BE6" w:rsidRDefault="00554E45" w:rsidP="00554E45">
      <w:pPr>
        <w:tabs>
          <w:tab w:val="left" w:pos="9540"/>
        </w:tabs>
        <w:spacing w:after="0" w:line="240" w:lineRule="auto"/>
        <w:ind w:right="-185"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Управлінський персонал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в особі відповідальних посадових осіб, несе відповідальність, зазначену у параграфі 6 б) МСА 210 "Узгодження умов завдань з аудиту":</w:t>
      </w:r>
    </w:p>
    <w:p w14:paraId="1CB4BEC8" w14:textId="77777777" w:rsidR="00554E45" w:rsidRPr="00AF7BE6" w:rsidRDefault="00554E45" w:rsidP="00554E45">
      <w:pPr>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за складання і достовірне под</w:t>
      </w:r>
      <w:r w:rsidR="009C215E" w:rsidRPr="00AF7BE6">
        <w:rPr>
          <w:rFonts w:ascii="Times New Roman" w:eastAsia="Times New Roman" w:hAnsi="Times New Roman" w:cs="Times New Roman"/>
          <w:color w:val="000000"/>
          <w:lang w:val="uk-UA"/>
        </w:rPr>
        <w:t>ання фінансової звітності за 2020</w:t>
      </w:r>
      <w:r w:rsidRPr="00AF7BE6">
        <w:rPr>
          <w:rFonts w:ascii="Times New Roman" w:eastAsia="Times New Roman" w:hAnsi="Times New Roman" w:cs="Times New Roman"/>
          <w:color w:val="000000"/>
          <w:lang w:val="uk-UA"/>
        </w:rPr>
        <w:t xml:space="preserve"> рік, відповідно до Закону України «Про бухгалтерський облік та фінансову звітність в Україні» від 16.07.1999 року № 996-XIV з наступними змінами та доповненнями; </w:t>
      </w:r>
    </w:p>
    <w:p w14:paraId="5D07B7D3" w14:textId="77777777" w:rsidR="00554E45" w:rsidRPr="00AF7BE6" w:rsidRDefault="00554E45" w:rsidP="00554E45">
      <w:pPr>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за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14:paraId="0C240A33" w14:textId="77777777" w:rsidR="00554E45" w:rsidRPr="00AF7BE6" w:rsidRDefault="00554E45" w:rsidP="00554E45">
      <w:pPr>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за наявність суттєвих невідповідностей між фінансовою звітністю, що підлягала аудиту, та іншою інформацією, що розкривається Товариством та подається до Комісії разом з фінансовою звітністю;</w:t>
      </w:r>
    </w:p>
    <w:p w14:paraId="5DA7F342" w14:textId="77777777" w:rsidR="00554E45" w:rsidRPr="00AF7BE6" w:rsidRDefault="00554E45" w:rsidP="00554E45">
      <w:pPr>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за невідповідне використання управлінським персоналом припущення про безперервність діяльності Товариства на основі проведеного фінансового аналізу діяльності Товариства у відповідності з вимогами МСА № 200 «Загальні цілі незалежного аудитора та проведення аудиту відповідно до міжнародних стандартів аудиту».</w:t>
      </w:r>
    </w:p>
    <w:p w14:paraId="0F2C15AE" w14:textId="77777777" w:rsidR="00554E45" w:rsidRPr="00AF7BE6" w:rsidRDefault="00554E45" w:rsidP="00554E45">
      <w:pPr>
        <w:spacing w:after="0" w:line="240" w:lineRule="auto"/>
        <w:ind w:right="-143"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Відповідальна особа  несе відповідальність  також за:</w:t>
      </w:r>
    </w:p>
    <w:p w14:paraId="29485A80" w14:textId="77777777" w:rsidR="00554E45" w:rsidRPr="00AF7BE6" w:rsidRDefault="00554E45" w:rsidP="00554E45">
      <w:pPr>
        <w:tabs>
          <w:tab w:val="left" w:pos="0"/>
        </w:tabs>
        <w:suppressAutoHyphens/>
        <w:spacing w:after="0" w:line="240" w:lineRule="auto"/>
        <w:ind w:left="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початкові залишки на рахунках бухгалтерського обліку;</w:t>
      </w:r>
    </w:p>
    <w:p w14:paraId="57C4B35F" w14:textId="77777777" w:rsidR="009C215E" w:rsidRPr="00AF7BE6" w:rsidRDefault="00554E45" w:rsidP="009C215E">
      <w:pPr>
        <w:tabs>
          <w:tab w:val="left" w:pos="0"/>
        </w:tabs>
        <w:suppressAutoHyphens/>
        <w:spacing w:after="0" w:line="240" w:lineRule="auto"/>
        <w:ind w:left="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право</w:t>
      </w:r>
      <w:r w:rsidR="009C215E" w:rsidRPr="00AF7BE6">
        <w:rPr>
          <w:rFonts w:ascii="Times New Roman" w:eastAsia="Times New Roman" w:hAnsi="Times New Roman" w:cs="Times New Roman"/>
          <w:color w:val="000000"/>
          <w:lang w:val="uk-UA"/>
        </w:rPr>
        <w:t>чинність</w:t>
      </w:r>
      <w:r w:rsidRPr="00AF7BE6">
        <w:rPr>
          <w:rFonts w:ascii="Times New Roman" w:eastAsia="Times New Roman" w:hAnsi="Times New Roman" w:cs="Times New Roman"/>
          <w:color w:val="000000"/>
          <w:lang w:val="uk-UA"/>
        </w:rPr>
        <w:t xml:space="preserve"> (легітимність, законність) здійснюваних господарських операцій та </w:t>
      </w:r>
      <w:r w:rsidR="009C215E"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 xml:space="preserve">господарських </w:t>
      </w:r>
    </w:p>
    <w:p w14:paraId="3022194E" w14:textId="77777777" w:rsidR="00554E45" w:rsidRPr="00AF7BE6" w:rsidRDefault="00554E45" w:rsidP="009C215E">
      <w:pPr>
        <w:tabs>
          <w:tab w:val="left" w:pos="0"/>
        </w:tabs>
        <w:suppressAutoHyphens/>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фактів;</w:t>
      </w:r>
    </w:p>
    <w:p w14:paraId="27319E5A" w14:textId="77777777" w:rsidR="00554E45" w:rsidRPr="00AF7BE6" w:rsidRDefault="00554E45" w:rsidP="00554E45">
      <w:pPr>
        <w:tabs>
          <w:tab w:val="left" w:pos="0"/>
        </w:tabs>
        <w:suppressAutoHyphens/>
        <w:spacing w:after="0" w:line="240" w:lineRule="auto"/>
        <w:ind w:left="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доказовість, повноту та юридичну силу первинних облікових документів;</w:t>
      </w:r>
    </w:p>
    <w:p w14:paraId="3594B471" w14:textId="77777777" w:rsidR="00554E45" w:rsidRPr="00AF7BE6" w:rsidRDefault="00554E45" w:rsidP="00554E45">
      <w:pPr>
        <w:tabs>
          <w:tab w:val="left" w:pos="0"/>
        </w:tabs>
        <w:suppressAutoHyphens/>
        <w:spacing w:after="0" w:line="240" w:lineRule="auto"/>
        <w:ind w:left="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методологію та організацію бухгалтерського обліку;</w:t>
      </w:r>
    </w:p>
    <w:p w14:paraId="24DB3369" w14:textId="77777777" w:rsidR="00554E45" w:rsidRPr="00AF7BE6" w:rsidRDefault="00554E45" w:rsidP="00554E45">
      <w:pPr>
        <w:tabs>
          <w:tab w:val="left" w:pos="0"/>
        </w:tabs>
        <w:suppressAutoHyphens/>
        <w:spacing w:after="0" w:line="240" w:lineRule="auto"/>
        <w:ind w:left="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управлінські рішення, договірне забезпечення та іншу адміністративну документацію.</w:t>
      </w:r>
    </w:p>
    <w:p w14:paraId="08500D41" w14:textId="77777777" w:rsidR="00554E45" w:rsidRPr="00AF7BE6" w:rsidRDefault="00554E45" w:rsidP="00554E45">
      <w:pPr>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Для проведення аудиторської перевірки за </w:t>
      </w:r>
      <w:r w:rsidR="009C215E" w:rsidRPr="00AF7BE6">
        <w:rPr>
          <w:rFonts w:ascii="Times New Roman" w:eastAsia="Times New Roman" w:hAnsi="Times New Roman" w:cs="Times New Roman"/>
          <w:color w:val="000000"/>
          <w:lang w:val="uk-UA"/>
        </w:rPr>
        <w:t>2020 рік</w:t>
      </w:r>
      <w:r w:rsidRPr="00AF7BE6">
        <w:rPr>
          <w:rFonts w:ascii="Times New Roman" w:eastAsia="Times New Roman" w:hAnsi="Times New Roman" w:cs="Times New Roman"/>
          <w:color w:val="000000"/>
          <w:lang w:val="uk-UA"/>
        </w:rPr>
        <w:t>, відповідно до Міжнародних стандартів аудиту МСА 700 «Формулювання думки та надання звіту щодо фінансової звітності», МСА 705 «Модифікації думки у звіті незалежного аудитора», МСА 706 «Пояснювальні параграфи та параграфи з інших питань у звіті незалежного аудитора», були надані наступні документи:</w:t>
      </w:r>
    </w:p>
    <w:p w14:paraId="02191C62" w14:textId="77777777" w:rsidR="00554E45" w:rsidRPr="00AF7BE6" w:rsidRDefault="00554E45" w:rsidP="00554E45">
      <w:pPr>
        <w:numPr>
          <w:ilvl w:val="0"/>
          <w:numId w:val="3"/>
        </w:numPr>
        <w:tabs>
          <w:tab w:val="left" w:pos="0"/>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Баланс (Звіт про фінансовий стан) (Форма № 1) станом на 31.12.20</w:t>
      </w:r>
      <w:r w:rsidR="009C215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w:t>
      </w:r>
    </w:p>
    <w:p w14:paraId="18627DB2" w14:textId="77777777" w:rsidR="00554E45" w:rsidRPr="00AF7BE6" w:rsidRDefault="00554E45" w:rsidP="00554E45">
      <w:pPr>
        <w:numPr>
          <w:ilvl w:val="0"/>
          <w:numId w:val="3"/>
        </w:numPr>
        <w:tabs>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Звіт про фінансові результати (Звіт про сукупний дохід) (Форма № 2) </w:t>
      </w:r>
      <w:r w:rsidR="006620BA" w:rsidRPr="00AF7BE6">
        <w:rPr>
          <w:rFonts w:ascii="Times New Roman" w:eastAsia="Times New Roman" w:hAnsi="Times New Roman" w:cs="Times New Roman"/>
          <w:color w:val="000000"/>
          <w:lang w:val="uk-UA"/>
        </w:rPr>
        <w:t>за 20</w:t>
      </w:r>
      <w:r w:rsidR="009C215E" w:rsidRPr="00AF7BE6">
        <w:rPr>
          <w:rFonts w:ascii="Times New Roman" w:eastAsia="Times New Roman" w:hAnsi="Times New Roman" w:cs="Times New Roman"/>
          <w:color w:val="000000"/>
          <w:lang w:val="uk-UA"/>
        </w:rPr>
        <w:t>20</w:t>
      </w:r>
      <w:r w:rsidR="006620BA" w:rsidRPr="00AF7BE6">
        <w:rPr>
          <w:rFonts w:ascii="Times New Roman" w:eastAsia="Times New Roman" w:hAnsi="Times New Roman" w:cs="Times New Roman"/>
          <w:color w:val="000000"/>
          <w:lang w:val="uk-UA"/>
        </w:rPr>
        <w:t xml:space="preserve"> рік</w:t>
      </w:r>
      <w:r w:rsidRPr="00AF7BE6">
        <w:rPr>
          <w:rFonts w:ascii="Times New Roman" w:eastAsia="Times New Roman" w:hAnsi="Times New Roman" w:cs="Times New Roman"/>
          <w:color w:val="000000"/>
          <w:lang w:val="uk-UA"/>
        </w:rPr>
        <w:t>;</w:t>
      </w:r>
    </w:p>
    <w:p w14:paraId="157CE1F2" w14:textId="77777777" w:rsidR="00554E45" w:rsidRPr="00AF7BE6" w:rsidRDefault="00554E45" w:rsidP="00554E45">
      <w:pPr>
        <w:numPr>
          <w:ilvl w:val="0"/>
          <w:numId w:val="3"/>
        </w:numPr>
        <w:tabs>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Звіт про рух грошових коштів (за прямим методом), (Форма № 3) </w:t>
      </w:r>
      <w:r w:rsidR="006620BA" w:rsidRPr="00AF7BE6">
        <w:rPr>
          <w:rFonts w:ascii="Times New Roman" w:eastAsia="Times New Roman" w:hAnsi="Times New Roman" w:cs="Times New Roman"/>
          <w:color w:val="000000"/>
          <w:lang w:val="uk-UA"/>
        </w:rPr>
        <w:t>за 20</w:t>
      </w:r>
      <w:r w:rsidR="009C215E" w:rsidRPr="00AF7BE6">
        <w:rPr>
          <w:rFonts w:ascii="Times New Roman" w:eastAsia="Times New Roman" w:hAnsi="Times New Roman" w:cs="Times New Roman"/>
          <w:color w:val="000000"/>
          <w:lang w:val="uk-UA"/>
        </w:rPr>
        <w:t>20</w:t>
      </w:r>
      <w:r w:rsidR="006620BA" w:rsidRPr="00AF7BE6">
        <w:rPr>
          <w:rFonts w:ascii="Times New Roman" w:eastAsia="Times New Roman" w:hAnsi="Times New Roman" w:cs="Times New Roman"/>
          <w:color w:val="000000"/>
          <w:lang w:val="uk-UA"/>
        </w:rPr>
        <w:t xml:space="preserve"> рік</w:t>
      </w:r>
      <w:r w:rsidRPr="00AF7BE6">
        <w:rPr>
          <w:rFonts w:ascii="Times New Roman" w:eastAsia="Times New Roman" w:hAnsi="Times New Roman" w:cs="Times New Roman"/>
          <w:color w:val="000000"/>
          <w:lang w:val="uk-UA"/>
        </w:rPr>
        <w:t>;</w:t>
      </w:r>
    </w:p>
    <w:p w14:paraId="72F4C7F1" w14:textId="77777777" w:rsidR="00554E45" w:rsidRPr="00AF7BE6" w:rsidRDefault="00554E45" w:rsidP="00554E45">
      <w:pPr>
        <w:numPr>
          <w:ilvl w:val="0"/>
          <w:numId w:val="3"/>
        </w:numPr>
        <w:tabs>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Звіт про власний капітал (Форма № 4) </w:t>
      </w:r>
      <w:r w:rsidR="006620BA" w:rsidRPr="00AF7BE6">
        <w:rPr>
          <w:rFonts w:ascii="Times New Roman" w:eastAsia="Times New Roman" w:hAnsi="Times New Roman" w:cs="Times New Roman"/>
          <w:color w:val="000000"/>
          <w:lang w:val="uk-UA"/>
        </w:rPr>
        <w:t>за 20</w:t>
      </w:r>
      <w:r w:rsidR="009C215E" w:rsidRPr="00AF7BE6">
        <w:rPr>
          <w:rFonts w:ascii="Times New Roman" w:eastAsia="Times New Roman" w:hAnsi="Times New Roman" w:cs="Times New Roman"/>
          <w:color w:val="000000"/>
          <w:lang w:val="uk-UA"/>
        </w:rPr>
        <w:t>20</w:t>
      </w:r>
      <w:r w:rsidR="006620BA" w:rsidRPr="00AF7BE6">
        <w:rPr>
          <w:rFonts w:ascii="Times New Roman" w:eastAsia="Times New Roman" w:hAnsi="Times New Roman" w:cs="Times New Roman"/>
          <w:color w:val="000000"/>
          <w:lang w:val="uk-UA"/>
        </w:rPr>
        <w:t xml:space="preserve"> рік</w:t>
      </w:r>
      <w:r w:rsidRPr="00AF7BE6">
        <w:rPr>
          <w:rFonts w:ascii="Times New Roman" w:eastAsia="Times New Roman" w:hAnsi="Times New Roman" w:cs="Times New Roman"/>
          <w:color w:val="000000"/>
          <w:lang w:val="uk-UA"/>
        </w:rPr>
        <w:t>;</w:t>
      </w:r>
    </w:p>
    <w:p w14:paraId="33A7703F" w14:textId="77777777" w:rsidR="00554E45" w:rsidRPr="00AF7BE6" w:rsidRDefault="00554E45" w:rsidP="00554E45">
      <w:pPr>
        <w:numPr>
          <w:ilvl w:val="0"/>
          <w:numId w:val="3"/>
        </w:numPr>
        <w:tabs>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Примітки до фінансової звітності</w:t>
      </w:r>
      <w:r w:rsidR="00E73D34" w:rsidRPr="00AF7BE6">
        <w:rPr>
          <w:rFonts w:ascii="Times New Roman" w:eastAsia="Times New Roman" w:hAnsi="Times New Roman" w:cs="Times New Roman"/>
          <w:color w:val="000000"/>
          <w:lang w:val="uk-UA"/>
        </w:rPr>
        <w:t xml:space="preserve"> (Форма №5)</w:t>
      </w:r>
      <w:r w:rsidRPr="00AF7BE6">
        <w:rPr>
          <w:rFonts w:ascii="Times New Roman" w:eastAsia="Times New Roman" w:hAnsi="Times New Roman" w:cs="Times New Roman"/>
          <w:color w:val="000000"/>
          <w:lang w:val="uk-UA"/>
        </w:rPr>
        <w:t xml:space="preserve"> за 20</w:t>
      </w:r>
      <w:r w:rsidR="009C215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рік;</w:t>
      </w:r>
    </w:p>
    <w:p w14:paraId="3989F8EE" w14:textId="77777777" w:rsidR="00554E45" w:rsidRPr="00AF7BE6" w:rsidRDefault="00554E45" w:rsidP="00554E45">
      <w:pPr>
        <w:numPr>
          <w:ilvl w:val="0"/>
          <w:numId w:val="3"/>
        </w:numPr>
        <w:tabs>
          <w:tab w:val="left" w:pos="0"/>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Статутні, реєстраційні документи;</w:t>
      </w:r>
    </w:p>
    <w:p w14:paraId="7D1F8658" w14:textId="77777777" w:rsidR="00554E45" w:rsidRPr="00AF7BE6" w:rsidRDefault="00554E45" w:rsidP="00554E45">
      <w:pPr>
        <w:numPr>
          <w:ilvl w:val="0"/>
          <w:numId w:val="3"/>
        </w:numPr>
        <w:tabs>
          <w:tab w:val="left" w:pos="0"/>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Протоколи, накази;</w:t>
      </w:r>
    </w:p>
    <w:p w14:paraId="3D71CD8A" w14:textId="77777777" w:rsidR="00554E45" w:rsidRPr="00AF7BE6" w:rsidRDefault="00554E45" w:rsidP="00554E45">
      <w:pPr>
        <w:numPr>
          <w:ilvl w:val="0"/>
          <w:numId w:val="3"/>
        </w:numPr>
        <w:tabs>
          <w:tab w:val="left" w:pos="0"/>
          <w:tab w:val="left" w:pos="993"/>
        </w:tabs>
        <w:suppressAutoHyphens/>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lastRenderedPageBreak/>
        <w:t>Первинні та зведені документи бухгалтерського обліку.</w:t>
      </w:r>
    </w:p>
    <w:p w14:paraId="51E6EC71" w14:textId="77777777" w:rsidR="00554E45" w:rsidRPr="00AF7BE6" w:rsidRDefault="00554E45" w:rsidP="00554E45">
      <w:pPr>
        <w:tabs>
          <w:tab w:val="left" w:pos="0"/>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Підготовка фінансової звітності вимагає від керівництва Товариства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w:t>
      </w:r>
    </w:p>
    <w:p w14:paraId="23098591" w14:textId="77777777" w:rsidR="00554E45" w:rsidRPr="00AF7BE6" w:rsidRDefault="00554E45" w:rsidP="00554E45">
      <w:pPr>
        <w:tabs>
          <w:tab w:val="left" w:pos="0"/>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Управлінський персонал несе відповідальність за складання і достовірне подання фінансової звітності відповідно до </w:t>
      </w:r>
      <w:r w:rsidR="00E73D34" w:rsidRPr="00AF7BE6">
        <w:rPr>
          <w:rFonts w:ascii="Times New Roman" w:eastAsia="Times New Roman" w:hAnsi="Times New Roman" w:cs="Times New Roman"/>
          <w:color w:val="000000"/>
          <w:lang w:val="uk-UA"/>
        </w:rPr>
        <w:t xml:space="preserve">Національних положень (стандартів) </w:t>
      </w:r>
      <w:r w:rsidR="001345EE" w:rsidRPr="00AF7BE6">
        <w:rPr>
          <w:rFonts w:ascii="Times New Roman" w:eastAsia="Times New Roman" w:hAnsi="Times New Roman" w:cs="Times New Roman"/>
          <w:color w:val="000000"/>
          <w:lang w:val="uk-UA"/>
        </w:rPr>
        <w:t>бухгалтерського обліку</w:t>
      </w:r>
      <w:r w:rsidRPr="00AF7BE6">
        <w:rPr>
          <w:rFonts w:ascii="Times New Roman" w:eastAsia="Times New Roman" w:hAnsi="Times New Roman" w:cs="Times New Roman"/>
          <w:color w:val="000000"/>
          <w:lang w:val="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 </w:t>
      </w:r>
    </w:p>
    <w:p w14:paraId="3F55CF56" w14:textId="77777777" w:rsidR="00554E45" w:rsidRPr="00AF7BE6" w:rsidRDefault="00554E45" w:rsidP="00554E45">
      <w:pPr>
        <w:spacing w:after="0" w:line="240" w:lineRule="auto"/>
        <w:rPr>
          <w:rFonts w:ascii="Times New Roman" w:eastAsia="Times New Roman" w:hAnsi="Times New Roman" w:cs="Times New Roman"/>
          <w:b/>
          <w:color w:val="000000"/>
          <w:sz w:val="24"/>
          <w:lang w:val="uk-UA"/>
        </w:rPr>
      </w:pPr>
    </w:p>
    <w:p w14:paraId="59FFF0E7" w14:textId="77777777" w:rsidR="00554E45" w:rsidRPr="00AF7BE6" w:rsidRDefault="00554E45" w:rsidP="00554E45">
      <w:pPr>
        <w:spacing w:after="0" w:line="240" w:lineRule="auto"/>
        <w:ind w:firstLine="567"/>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Відповідальність аудитора за аудит фінансової звітності</w:t>
      </w:r>
    </w:p>
    <w:p w14:paraId="4AC9C5E1" w14:textId="77777777" w:rsidR="00554E45" w:rsidRPr="00AF7BE6" w:rsidRDefault="00554E45" w:rsidP="00554E45">
      <w:pPr>
        <w:spacing w:after="0" w:line="240" w:lineRule="auto"/>
        <w:ind w:firstLine="709"/>
        <w:jc w:val="both"/>
        <w:rPr>
          <w:rFonts w:ascii="Times New Roman" w:eastAsia="Times New Roman" w:hAnsi="Times New Roman" w:cs="Times New Roman"/>
          <w:b/>
          <w:color w:val="000000"/>
          <w:lang w:val="uk-UA"/>
        </w:rPr>
      </w:pPr>
    </w:p>
    <w:p w14:paraId="39B91B29" w14:textId="77777777"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вимог Міжнародних стандартів контролю якості, аудиту, огляду, іншого надання впевненості та супутніх послуг (далі – МСА), зокрема, до МСА 700 «Формулювання думки та надання звіту щодо фінансової звітності», МСА 705 «Модифікації думки у звіті незалежного аудитора», МСА 706 «Пояснювальні параграфи та параграфи з інших питань у звіті незалежного аудитора», МСА 720</w:t>
      </w:r>
      <w:r w:rsidR="001345EE"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«Відповідальність аудитора щодо іншої інформації в документах, що містить перевірену аудитором фінансову звітність, МСА 240 «Відповідальність аудитора, що стосується шахрайства, при аудиті фінансової звітності».</w:t>
      </w:r>
    </w:p>
    <w:p w14:paraId="0D53C63F" w14:textId="77777777"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Ці стандарти вимагають від нас дотримання відповідних етичних вимог, а також зобов'язують нас планувати і здійснювати аудиторську перевірку з метою одержання обґрунтованої впевненості в тому, що фінансові звіти не містять суттєвих викривлень. </w:t>
      </w:r>
    </w:p>
    <w:p w14:paraId="61E903E6" w14:textId="4D4E1FE0"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 включає перевірку шляхом тестування доказів, які підтверджують суми й розкриття інформації у фінансових звітах, а також оцінку застосованих принципів бухгалтерського обліку й суттєвих попередніх оцінок, здійснених управлінським персоналом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xml:space="preserve"> включаючи оцінку ризиків суттєвих викривлень фінансової звітності внаслідок шахрайства або помилки. </w:t>
      </w:r>
    </w:p>
    <w:p w14:paraId="4347846B" w14:textId="77777777"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Аудит включає також оцінку відповідності використаних облікових політик, прийнятність облікових оцінок, виконаних управлінським персоналом, та загального подання фінансової звітності.</w:t>
      </w:r>
    </w:p>
    <w:p w14:paraId="29AFCBFF" w14:textId="77777777"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w:t>
      </w:r>
    </w:p>
    <w:p w14:paraId="5831C848" w14:textId="77777777"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Перевірка проводилась відповідно до статті 10 Закону України «Про аудит фінансової звітності та аудиторську діяльність» від 21.12.2017 року № 2258-VIII з наступними змінами та доповненнями, Закону України "Про  державне  регулювання  ринку  цінних паперів  в  Україні" від 30.10.1996 року № 448/96-ВР з насту</w:t>
      </w:r>
      <w:r w:rsidR="00D77A1F" w:rsidRPr="00AF7BE6">
        <w:rPr>
          <w:rFonts w:ascii="Times New Roman" w:eastAsia="Times New Roman" w:hAnsi="Times New Roman" w:cs="Times New Roman"/>
          <w:color w:val="000000"/>
          <w:lang w:val="uk-UA"/>
        </w:rPr>
        <w:t xml:space="preserve">пними змінами та доповненнями, </w:t>
      </w:r>
      <w:r w:rsidRPr="00AF7BE6">
        <w:rPr>
          <w:rFonts w:ascii="Times New Roman" w:eastAsia="Times New Roman" w:hAnsi="Times New Roman" w:cs="Times New Roman"/>
          <w:color w:val="000000"/>
          <w:lang w:val="uk-UA"/>
        </w:rPr>
        <w:t xml:space="preserve">Закону України "Про цінні папери та фондовий ринок" від 23.02.2006 року № 3480-IV з наступними змінами та доповненнями,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26.01.2017 року №338/8  (надалі – МСА), з урахуванням  інших нормативних актів, що регулюють діяльність учасників Фондового ринку.  </w:t>
      </w:r>
    </w:p>
    <w:p w14:paraId="08DD5969" w14:textId="5EFC066D"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lang w:val="uk-UA"/>
        </w:rPr>
        <w:t>Аудиторська</w:t>
      </w:r>
      <w:r w:rsidRPr="00AF7BE6">
        <w:rPr>
          <w:rFonts w:ascii="Times New Roman" w:eastAsia="Times New Roman" w:hAnsi="Times New Roman" w:cs="Times New Roman"/>
          <w:color w:val="000000"/>
          <w:lang w:val="uk-UA"/>
        </w:rPr>
        <w:t xml:space="preserve"> перевірка включає оцінку застосованих </w:t>
      </w:r>
      <w:r w:rsidR="001345EE" w:rsidRPr="00AF7BE6">
        <w:rPr>
          <w:rFonts w:ascii="Times New Roman" w:eastAsia="Times New Roman" w:hAnsi="Times New Roman" w:cs="Times New Roman"/>
          <w:color w:val="000000"/>
          <w:lang w:val="uk-UA"/>
        </w:rPr>
        <w:t>Національних положень (стандартів) бухгалтерського обліку</w:t>
      </w:r>
      <w:r w:rsidRPr="00AF7BE6">
        <w:rPr>
          <w:rFonts w:ascii="Times New Roman" w:eastAsia="Times New Roman" w:hAnsi="Times New Roman" w:cs="Times New Roman"/>
          <w:color w:val="000000"/>
          <w:lang w:val="uk-UA"/>
        </w:rPr>
        <w:t xml:space="preserve"> та суттєвих попередніх оцінок, здійснених управлінським персоналом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також оцінку загального подання фінансових звітів в цілому. Перевіркою не розглядалося питання правильності сплати податків, зборів, обов’язкових платежів.</w:t>
      </w:r>
    </w:p>
    <w:p w14:paraId="2EBBD029" w14:textId="77777777" w:rsidR="00554E45" w:rsidRPr="00AF7BE6" w:rsidRDefault="00554E45" w:rsidP="00554E45">
      <w:pPr>
        <w:tabs>
          <w:tab w:val="left" w:pos="643"/>
          <w:tab w:val="left" w:pos="1003"/>
        </w:tabs>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Отримані аудиторські докази, на думку аудитора, забезпечують достатню та відповідну основу для висловлення аудиторської думки.</w:t>
      </w:r>
    </w:p>
    <w:p w14:paraId="762D8584" w14:textId="77777777" w:rsidR="00554E45" w:rsidRPr="00AF7BE6" w:rsidRDefault="00554E45" w:rsidP="00554E45">
      <w:pPr>
        <w:spacing w:after="0" w:line="240" w:lineRule="auto"/>
        <w:ind w:firstLine="567"/>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w:t>
      </w:r>
      <w:r w:rsidRPr="00AF7BE6">
        <w:rPr>
          <w:rFonts w:ascii="Times New Roman" w:eastAsia="Times New Roman" w:hAnsi="Times New Roman" w:cs="Times New Roman"/>
          <w:lang w:val="uk-UA"/>
        </w:rPr>
        <w:lastRenderedPageBreak/>
        <w:t>очікується, вони можуть впливати на економічні рішення користувачів, що приймаються на основі цієї фінансової звітності. 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4B6803E0" w14:textId="77777777" w:rsidR="00554E45" w:rsidRPr="00AF7BE6" w:rsidRDefault="00554E45" w:rsidP="00554E45">
      <w:pPr>
        <w:keepLine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70698A01" w14:textId="77777777" w:rsidR="00554E45" w:rsidRPr="00AF7BE6" w:rsidRDefault="00554E45" w:rsidP="00554E45">
      <w:pPr>
        <w:keepLine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1BE03C34" w14:textId="77777777" w:rsidR="00554E45" w:rsidRPr="00AF7BE6" w:rsidRDefault="00554E45" w:rsidP="00554E45">
      <w:pPr>
        <w:keepLine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047269D7" w14:textId="77777777" w:rsidR="00554E45" w:rsidRPr="00AF7BE6" w:rsidRDefault="00554E45" w:rsidP="00554E45">
      <w:pPr>
        <w:keepLine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продовжити безперервну діяльність суб’єкта перевірки.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w:t>
      </w:r>
    </w:p>
    <w:p w14:paraId="34531381" w14:textId="77777777" w:rsidR="001345EE" w:rsidRPr="00AF7BE6" w:rsidRDefault="00554E45" w:rsidP="00B34A4A">
      <w:pPr>
        <w:keepLine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Ми також надаємо тим, кого наділено найвищими повноваженнями, твердження, що ми виконали </w:t>
      </w:r>
    </w:p>
    <w:p w14:paraId="722010C1" w14:textId="77777777" w:rsidR="00554E45" w:rsidRPr="00AF7BE6" w:rsidRDefault="00554E45" w:rsidP="001345EE">
      <w:pPr>
        <w:keepLines/>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w:t>
      </w:r>
      <w:r w:rsidR="00B34A4A"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 xml:space="preserve">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w:t>
      </w:r>
    </w:p>
    <w:p w14:paraId="532FB499" w14:textId="77777777" w:rsidR="00554E45" w:rsidRPr="00AF7BE6" w:rsidRDefault="00554E45" w:rsidP="00554E45">
      <w:pPr>
        <w:shd w:val="clear" w:color="auto" w:fill="FFFFFF"/>
        <w:autoSpaceDE w:val="0"/>
        <w:autoSpaceDN w:val="0"/>
        <w:adjustRightInd w:val="0"/>
        <w:spacing w:before="240" w:line="240" w:lineRule="auto"/>
        <w:ind w:firstLine="709"/>
        <w:jc w:val="center"/>
        <w:rPr>
          <w:rFonts w:ascii="Times New Roman" w:eastAsia="Times New Roman" w:hAnsi="Times New Roman" w:cs="Times New Roman"/>
          <w:b/>
          <w:color w:val="000000" w:themeColor="text1"/>
          <w:sz w:val="24"/>
          <w:szCs w:val="24"/>
          <w:lang w:val="uk-UA"/>
        </w:rPr>
      </w:pPr>
      <w:r w:rsidRPr="00AF7BE6">
        <w:rPr>
          <w:rFonts w:ascii="Times New Roman" w:eastAsia="Times New Roman" w:hAnsi="Times New Roman" w:cs="Times New Roman"/>
          <w:b/>
          <w:color w:val="000000" w:themeColor="text1"/>
          <w:sz w:val="24"/>
          <w:szCs w:val="24"/>
          <w:lang w:val="uk-UA"/>
        </w:rPr>
        <w:t>ІІ. ЗВІТ  ПРО ІНШІ  ПРАВОВІ ТА РЕГУЛЯТОРНІ  ВИМОГИ</w:t>
      </w:r>
    </w:p>
    <w:p w14:paraId="68302E6B" w14:textId="6BA3B975" w:rsidR="00D306A4" w:rsidRPr="00AF7BE6" w:rsidRDefault="009B38E5" w:rsidP="00202402">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hAnsi="Times New Roman" w:cs="Times New Roman"/>
          <w:lang w:val="uk-UA"/>
        </w:rPr>
        <w:t>Акціонерного товариства «Кременчуцьке кар’єроуправління «Кварц»</w:t>
      </w:r>
      <w:r w:rsidR="005022F6" w:rsidRPr="00AF7BE6">
        <w:rPr>
          <w:rFonts w:ascii="Times New Roman" w:eastAsia="Times New Roman" w:hAnsi="Times New Roman" w:cs="Times New Roman"/>
          <w:color w:val="000000"/>
          <w:lang w:val="uk-UA"/>
        </w:rPr>
        <w:t xml:space="preserve"> </w:t>
      </w:r>
      <w:r w:rsidR="00202402" w:rsidRPr="00AF7BE6">
        <w:rPr>
          <w:rFonts w:ascii="Times New Roman" w:eastAsia="Times New Roman" w:hAnsi="Times New Roman" w:cs="Times New Roman"/>
          <w:color w:val="000000"/>
          <w:lang w:val="uk-UA"/>
        </w:rPr>
        <w:t>(далі</w:t>
      </w:r>
      <w:r w:rsidR="00BF7FE4" w:rsidRPr="00AF7BE6">
        <w:rPr>
          <w:rFonts w:ascii="Times New Roman" w:eastAsia="Times New Roman" w:hAnsi="Times New Roman" w:cs="Times New Roman"/>
          <w:color w:val="000000"/>
          <w:lang w:val="uk-UA"/>
        </w:rPr>
        <w:t xml:space="preserve"> </w:t>
      </w:r>
      <w:r w:rsidR="00D306A4" w:rsidRPr="00AF7BE6">
        <w:rPr>
          <w:rFonts w:ascii="Times New Roman" w:eastAsia="Times New Roman" w:hAnsi="Times New Roman" w:cs="Times New Roman"/>
          <w:color w:val="000000"/>
          <w:lang w:val="uk-UA"/>
        </w:rPr>
        <w:t>– Товариство),    зареєстроване     відповідно    до     Законів     України     «Про     акціонерні     товариства»  від 17.09.2008 № 514-VI, з наступними змінами та доповненнями, «Про зовнішньоекономічну діяльність»  від 16.04.1991 року № 959-XII з наступними змінами та доповненнями, та інших законодавчих актів.</w:t>
      </w:r>
    </w:p>
    <w:p w14:paraId="1B719ABC" w14:textId="77777777" w:rsidR="00D77A1F" w:rsidRPr="00AF7BE6" w:rsidRDefault="00D306A4" w:rsidP="00D306A4">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Товариство є юридичною особою, має самостійний баланс, рахунки в банках, печатки та штампи зі своїм найменуванням.</w:t>
      </w:r>
      <w:r w:rsidR="00D77A1F" w:rsidRPr="00AF7BE6">
        <w:rPr>
          <w:rFonts w:ascii="Times New Roman" w:eastAsia="Times New Roman" w:hAnsi="Times New Roman" w:cs="Times New Roman"/>
          <w:color w:val="000000"/>
          <w:lang w:val="uk-UA"/>
        </w:rPr>
        <w:t xml:space="preserve"> </w:t>
      </w:r>
    </w:p>
    <w:p w14:paraId="7049EC4B" w14:textId="77777777" w:rsidR="00D306A4" w:rsidRPr="00AF7BE6" w:rsidRDefault="00D77A1F" w:rsidP="00D77A1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У </w:t>
      </w:r>
      <w:r w:rsidR="00D306A4" w:rsidRPr="00AF7BE6">
        <w:rPr>
          <w:rFonts w:ascii="Times New Roman" w:eastAsia="Times New Roman" w:hAnsi="Times New Roman" w:cs="Times New Roman"/>
          <w:color w:val="000000"/>
          <w:lang w:val="uk-UA"/>
        </w:rPr>
        <w:t>своїй</w:t>
      </w:r>
      <w:r w:rsidR="00D306A4" w:rsidRPr="00AF7BE6">
        <w:rPr>
          <w:rFonts w:ascii="Times New Roman" w:eastAsia="Times New Roman" w:hAnsi="Times New Roman" w:cs="Times New Roman"/>
          <w:color w:val="000000"/>
          <w:lang w:val="uk-UA"/>
        </w:rPr>
        <w:tab/>
      </w:r>
      <w:r w:rsidRPr="00AF7BE6">
        <w:rPr>
          <w:rFonts w:ascii="Times New Roman" w:eastAsia="Times New Roman" w:hAnsi="Times New Roman" w:cs="Times New Roman"/>
          <w:color w:val="000000"/>
          <w:lang w:val="uk-UA"/>
        </w:rPr>
        <w:t xml:space="preserve"> </w:t>
      </w:r>
      <w:r w:rsidR="00D306A4" w:rsidRPr="00AF7BE6">
        <w:rPr>
          <w:rFonts w:ascii="Times New Roman" w:eastAsia="Times New Roman" w:hAnsi="Times New Roman" w:cs="Times New Roman"/>
          <w:color w:val="000000"/>
          <w:lang w:val="uk-UA"/>
        </w:rPr>
        <w:t>діяльності Товариство</w:t>
      </w:r>
      <w:r w:rsidR="00D306A4" w:rsidRPr="00AF7BE6">
        <w:rPr>
          <w:rFonts w:ascii="Times New Roman" w:eastAsia="Times New Roman" w:hAnsi="Times New Roman" w:cs="Times New Roman"/>
          <w:color w:val="000000"/>
          <w:lang w:val="uk-UA"/>
        </w:rPr>
        <w:tab/>
        <w:t xml:space="preserve"> к</w:t>
      </w:r>
      <w:r w:rsidRPr="00AF7BE6">
        <w:rPr>
          <w:rFonts w:ascii="Times New Roman" w:eastAsia="Times New Roman" w:hAnsi="Times New Roman" w:cs="Times New Roman"/>
          <w:color w:val="000000"/>
          <w:lang w:val="uk-UA"/>
        </w:rPr>
        <w:t xml:space="preserve">ерується чинним </w:t>
      </w:r>
      <w:r w:rsidR="00D306A4" w:rsidRPr="00AF7BE6">
        <w:rPr>
          <w:rFonts w:ascii="Times New Roman" w:eastAsia="Times New Roman" w:hAnsi="Times New Roman" w:cs="Times New Roman"/>
          <w:color w:val="000000"/>
          <w:lang w:val="uk-UA"/>
        </w:rPr>
        <w:t>законодавством, іншими внутрішніми нормативними документами, рішеннями.</w:t>
      </w:r>
    </w:p>
    <w:p w14:paraId="5EFAFCD2" w14:textId="77777777" w:rsidR="00D306A4" w:rsidRPr="00AF7BE6" w:rsidRDefault="00D306A4" w:rsidP="005022F6">
      <w:pPr>
        <w:suppressAutoHyphens/>
        <w:spacing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Станом на 31.12.20</w:t>
      </w:r>
      <w:r w:rsidR="00D77A1F"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 </w:t>
      </w:r>
      <w:r w:rsidR="005022F6" w:rsidRPr="00AF7BE6">
        <w:rPr>
          <w:rFonts w:ascii="Times New Roman" w:hAnsi="Times New Roman" w:cs="Times New Roman"/>
          <w:lang w:val="uk-UA"/>
        </w:rPr>
        <w:t>відокремлених підрозділів у Товариства  немає.</w:t>
      </w:r>
    </w:p>
    <w:p w14:paraId="5DC1DCA1" w14:textId="77777777" w:rsidR="00034EF7" w:rsidRPr="00AF7BE6" w:rsidRDefault="00034EF7" w:rsidP="00CB32E7">
      <w:pPr>
        <w:spacing w:after="0" w:line="360" w:lineRule="auto"/>
        <w:jc w:val="center"/>
        <w:rPr>
          <w:rFonts w:ascii="Times New Roman" w:eastAsia="Times New Roman" w:hAnsi="Times New Roman" w:cs="Times New Roman"/>
          <w:b/>
          <w:color w:val="000000"/>
          <w:sz w:val="24"/>
          <w:szCs w:val="24"/>
          <w:lang w:val="uk-UA"/>
        </w:rPr>
      </w:pPr>
      <w:r w:rsidRPr="00AF7BE6">
        <w:rPr>
          <w:rFonts w:ascii="Times New Roman" w:eastAsia="Times New Roman" w:hAnsi="Times New Roman" w:cs="Times New Roman"/>
          <w:b/>
          <w:color w:val="000000"/>
          <w:sz w:val="24"/>
          <w:szCs w:val="24"/>
          <w:lang w:val="uk-UA"/>
        </w:rPr>
        <w:t>Основні відомості про Товариство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6967"/>
      </w:tblGrid>
      <w:tr w:rsidR="005022F6" w:rsidRPr="00AF7BE6" w14:paraId="7FBD1643" w14:textId="77777777" w:rsidTr="00CB32E7">
        <w:tc>
          <w:tcPr>
            <w:tcW w:w="3631" w:type="dxa"/>
          </w:tcPr>
          <w:p w14:paraId="7139EC3E" w14:textId="77777777" w:rsidR="005022F6" w:rsidRPr="00AF7BE6" w:rsidRDefault="005022F6"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Повна назва підприємства</w:t>
            </w:r>
          </w:p>
        </w:tc>
        <w:tc>
          <w:tcPr>
            <w:tcW w:w="6967" w:type="dxa"/>
          </w:tcPr>
          <w:p w14:paraId="56290BF8" w14:textId="5C8F44E8" w:rsidR="005022F6" w:rsidRPr="00AF7BE6" w:rsidRDefault="009B38E5" w:rsidP="005022F6">
            <w:pPr>
              <w:spacing w:after="0" w:line="240" w:lineRule="auto"/>
              <w:rPr>
                <w:rFonts w:ascii="Times New Roman" w:eastAsia="Times New Roman" w:hAnsi="Times New Roman" w:cs="Times New Roman"/>
                <w:color w:val="000000"/>
                <w:sz w:val="24"/>
                <w:szCs w:val="24"/>
                <w:lang w:val="uk-UA"/>
              </w:rPr>
            </w:pPr>
            <w:r w:rsidRPr="00AF7BE6">
              <w:rPr>
                <w:rFonts w:ascii="Times New Roman" w:hAnsi="Times New Roman" w:cs="Times New Roman"/>
                <w:lang w:val="uk-UA"/>
              </w:rPr>
              <w:t>Акціонерне товариство «Кременчуцьке кар’єроуправління «Кварц»</w:t>
            </w:r>
          </w:p>
        </w:tc>
      </w:tr>
      <w:tr w:rsidR="005022F6" w:rsidRPr="00AF7BE6" w14:paraId="710ED694" w14:textId="77777777" w:rsidTr="00CB32E7">
        <w:tc>
          <w:tcPr>
            <w:tcW w:w="3631" w:type="dxa"/>
          </w:tcPr>
          <w:p w14:paraId="140BFB22"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 xml:space="preserve">Скорочена назва підприємства </w:t>
            </w:r>
          </w:p>
        </w:tc>
        <w:tc>
          <w:tcPr>
            <w:tcW w:w="6967" w:type="dxa"/>
          </w:tcPr>
          <w:p w14:paraId="2AAE0552" w14:textId="44630DB1" w:rsidR="005022F6" w:rsidRPr="00AF7BE6" w:rsidRDefault="005022F6" w:rsidP="005022F6">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hd w:val="clear" w:color="auto" w:fill="FFFFFF"/>
                <w:lang w:val="uk-UA"/>
              </w:rPr>
              <w:t xml:space="preserve">АТ </w:t>
            </w:r>
            <w:r w:rsidR="00CD1AD3" w:rsidRPr="00AF7BE6">
              <w:rPr>
                <w:rFonts w:ascii="Times New Roman" w:eastAsia="Times New Roman" w:hAnsi="Times New Roman" w:cs="Times New Roman"/>
                <w:color w:val="000000"/>
                <w:shd w:val="clear" w:color="auto" w:fill="FFFFFF"/>
                <w:lang w:val="uk-UA"/>
              </w:rPr>
              <w:t>«ККУ «Кварц»</w:t>
            </w:r>
          </w:p>
        </w:tc>
      </w:tr>
      <w:tr w:rsidR="005022F6" w:rsidRPr="00AF7BE6" w14:paraId="3CC2094E" w14:textId="77777777" w:rsidTr="00CB32E7">
        <w:tc>
          <w:tcPr>
            <w:tcW w:w="3631" w:type="dxa"/>
          </w:tcPr>
          <w:p w14:paraId="614AEA05"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 xml:space="preserve">Організаційно-правова форма підприємства </w:t>
            </w:r>
          </w:p>
        </w:tc>
        <w:tc>
          <w:tcPr>
            <w:tcW w:w="6967" w:type="dxa"/>
          </w:tcPr>
          <w:p w14:paraId="12009E35" w14:textId="4A933F64" w:rsidR="005022F6" w:rsidRPr="00AF7BE6" w:rsidRDefault="005022F6" w:rsidP="005022F6">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lang w:val="uk-UA"/>
              </w:rPr>
              <w:t>АКЦІОНЕРНЕ ТОВАРИСТВО</w:t>
            </w:r>
          </w:p>
        </w:tc>
      </w:tr>
      <w:tr w:rsidR="005022F6" w:rsidRPr="00AF7BE6" w14:paraId="7BD0958C" w14:textId="77777777" w:rsidTr="00CB32E7">
        <w:tc>
          <w:tcPr>
            <w:tcW w:w="3631" w:type="dxa"/>
          </w:tcPr>
          <w:p w14:paraId="7AEBDC0F"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Ознака особи</w:t>
            </w:r>
          </w:p>
        </w:tc>
        <w:tc>
          <w:tcPr>
            <w:tcW w:w="6967" w:type="dxa"/>
          </w:tcPr>
          <w:p w14:paraId="45662CC7" w14:textId="77777777" w:rsidR="005022F6" w:rsidRPr="00AF7BE6" w:rsidRDefault="005022F6" w:rsidP="005022F6">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lang w:val="uk-UA"/>
              </w:rPr>
              <w:t>Юридична</w:t>
            </w:r>
          </w:p>
        </w:tc>
      </w:tr>
      <w:tr w:rsidR="005022F6" w:rsidRPr="00AF7BE6" w14:paraId="3EB921B8" w14:textId="77777777" w:rsidTr="00CB32E7">
        <w:tc>
          <w:tcPr>
            <w:tcW w:w="3631" w:type="dxa"/>
          </w:tcPr>
          <w:p w14:paraId="0C06121A"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 xml:space="preserve">Форма власності </w:t>
            </w:r>
          </w:p>
        </w:tc>
        <w:tc>
          <w:tcPr>
            <w:tcW w:w="6967" w:type="dxa"/>
          </w:tcPr>
          <w:p w14:paraId="5FF114D5" w14:textId="77777777" w:rsidR="005022F6" w:rsidRPr="00AF7BE6" w:rsidRDefault="005022F6" w:rsidP="005022F6">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lang w:val="uk-UA"/>
              </w:rPr>
              <w:t>Приватна</w:t>
            </w:r>
          </w:p>
        </w:tc>
      </w:tr>
      <w:tr w:rsidR="005022F6" w:rsidRPr="00AF7BE6" w14:paraId="0EA09C00" w14:textId="77777777" w:rsidTr="00CB32E7">
        <w:trPr>
          <w:trHeight w:val="494"/>
        </w:trPr>
        <w:tc>
          <w:tcPr>
            <w:tcW w:w="3631" w:type="dxa"/>
          </w:tcPr>
          <w:p w14:paraId="5F4F70B9"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Код за ЄДРПОУ</w:t>
            </w:r>
          </w:p>
        </w:tc>
        <w:tc>
          <w:tcPr>
            <w:tcW w:w="6967" w:type="dxa"/>
          </w:tcPr>
          <w:p w14:paraId="05A46418" w14:textId="26CED9E9" w:rsidR="005022F6" w:rsidRPr="00AF7BE6" w:rsidRDefault="006A76CE"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snapToGrid w:val="0"/>
                <w:color w:val="000000"/>
                <w:lang w:val="uk-UA"/>
              </w:rPr>
              <w:t>35328439</w:t>
            </w:r>
          </w:p>
        </w:tc>
      </w:tr>
      <w:tr w:rsidR="005022F6" w:rsidRPr="00AF7BE6" w14:paraId="44FBE139" w14:textId="77777777" w:rsidTr="00CB32E7">
        <w:trPr>
          <w:trHeight w:val="410"/>
        </w:trPr>
        <w:tc>
          <w:tcPr>
            <w:tcW w:w="3631" w:type="dxa"/>
          </w:tcPr>
          <w:p w14:paraId="428D7714"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Місцезнаходження:</w:t>
            </w:r>
          </w:p>
        </w:tc>
        <w:tc>
          <w:tcPr>
            <w:tcW w:w="6967" w:type="dxa"/>
          </w:tcPr>
          <w:p w14:paraId="481E1441" w14:textId="67FA5E25" w:rsidR="005022F6" w:rsidRPr="00AF7BE6" w:rsidRDefault="00B85FC8"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snapToGrid w:val="0"/>
                <w:color w:val="000000"/>
                <w:shd w:val="clear" w:color="auto" w:fill="FFFFFF"/>
                <w:lang w:val="uk-UA"/>
              </w:rPr>
              <w:t>Україна, 39631, Полтавська обл., місто Кременчук, ВУЛИЦЯ КИЇВСЬКА, будинок 85</w:t>
            </w:r>
          </w:p>
        </w:tc>
      </w:tr>
      <w:tr w:rsidR="005022F6" w:rsidRPr="00AF7BE6" w14:paraId="411B447B" w14:textId="77777777" w:rsidTr="00CB32E7">
        <w:trPr>
          <w:trHeight w:val="304"/>
        </w:trPr>
        <w:tc>
          <w:tcPr>
            <w:tcW w:w="3631" w:type="dxa"/>
          </w:tcPr>
          <w:p w14:paraId="0DFC18DC"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Дата державної реєстрації</w:t>
            </w:r>
          </w:p>
        </w:tc>
        <w:tc>
          <w:tcPr>
            <w:tcW w:w="6967" w:type="dxa"/>
          </w:tcPr>
          <w:p w14:paraId="1B525889" w14:textId="6BCF0B9D" w:rsidR="005022F6" w:rsidRPr="00AF7BE6" w:rsidRDefault="00954E4C"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sz w:val="24"/>
                <w:lang w:val="uk-UA"/>
              </w:rPr>
              <w:t>11.08.2007 р.</w:t>
            </w:r>
          </w:p>
        </w:tc>
      </w:tr>
      <w:tr w:rsidR="005022F6" w:rsidRPr="00AF7BE6" w14:paraId="1D08FD01" w14:textId="77777777" w:rsidTr="00CB32E7">
        <w:trPr>
          <w:trHeight w:val="270"/>
        </w:trPr>
        <w:tc>
          <w:tcPr>
            <w:tcW w:w="3631" w:type="dxa"/>
          </w:tcPr>
          <w:p w14:paraId="4E1EEBD0"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lastRenderedPageBreak/>
              <w:t>Ліцензія Адміністрації державної служби спеціального зв’язку та захисту інформації України</w:t>
            </w:r>
          </w:p>
        </w:tc>
        <w:tc>
          <w:tcPr>
            <w:tcW w:w="6967" w:type="dxa"/>
          </w:tcPr>
          <w:p w14:paraId="033B8279" w14:textId="591683AC" w:rsidR="005022F6" w:rsidRPr="00AF7BE6" w:rsidRDefault="00295BA6"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snapToGrid w:val="0"/>
                <w:color w:val="000000"/>
                <w:lang w:val="uk-UA"/>
              </w:rPr>
              <w:t>-</w:t>
            </w:r>
          </w:p>
        </w:tc>
      </w:tr>
      <w:tr w:rsidR="005022F6" w:rsidRPr="00AF7BE6" w14:paraId="673758B8" w14:textId="77777777" w:rsidTr="00CB32E7">
        <w:trPr>
          <w:trHeight w:val="225"/>
        </w:trPr>
        <w:tc>
          <w:tcPr>
            <w:tcW w:w="3631" w:type="dxa"/>
          </w:tcPr>
          <w:p w14:paraId="7CDEC6CF"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 xml:space="preserve">Свідоцтво </w:t>
            </w:r>
          </w:p>
        </w:tc>
        <w:tc>
          <w:tcPr>
            <w:tcW w:w="6967" w:type="dxa"/>
          </w:tcPr>
          <w:p w14:paraId="097DF3EE" w14:textId="77777777" w:rsidR="005022F6" w:rsidRPr="00AF7BE6" w:rsidRDefault="005022F6"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Свідоцтво про реєстрацію випуску акцій</w:t>
            </w:r>
          </w:p>
          <w:p w14:paraId="4003A756" w14:textId="2880A918" w:rsidR="005022F6" w:rsidRPr="00AF7BE6" w:rsidRDefault="005022F6"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Реєстраційний №</w:t>
            </w:r>
            <w:r w:rsidR="00CA4148" w:rsidRPr="00AF7BE6">
              <w:rPr>
                <w:rFonts w:ascii="Times New Roman" w:eastAsia="Times New Roman" w:hAnsi="Times New Roman" w:cs="Times New Roman"/>
                <w:color w:val="000000"/>
                <w:lang w:val="uk-UA"/>
              </w:rPr>
              <w:t>10/16/1/10</w:t>
            </w:r>
            <w:r w:rsidRPr="00AF7BE6">
              <w:rPr>
                <w:rFonts w:ascii="Times New Roman" w:eastAsia="Times New Roman" w:hAnsi="Times New Roman" w:cs="Times New Roman"/>
                <w:color w:val="000000"/>
                <w:lang w:val="uk-UA"/>
              </w:rPr>
              <w:t xml:space="preserve"> від </w:t>
            </w:r>
            <w:r w:rsidR="00CA4148" w:rsidRPr="00AF7BE6">
              <w:rPr>
                <w:rFonts w:ascii="Times New Roman" w:eastAsia="Times New Roman" w:hAnsi="Times New Roman" w:cs="Times New Roman"/>
                <w:color w:val="000000"/>
                <w:lang w:val="uk-UA"/>
              </w:rPr>
              <w:t>11</w:t>
            </w:r>
            <w:r w:rsidRPr="00AF7BE6">
              <w:rPr>
                <w:rFonts w:ascii="Times New Roman" w:eastAsia="Times New Roman" w:hAnsi="Times New Roman" w:cs="Times New Roman"/>
                <w:color w:val="000000"/>
                <w:lang w:val="uk-UA"/>
              </w:rPr>
              <w:t>.</w:t>
            </w:r>
            <w:r w:rsidR="00CA4148" w:rsidRPr="00AF7BE6">
              <w:rPr>
                <w:rFonts w:ascii="Times New Roman" w:eastAsia="Times New Roman" w:hAnsi="Times New Roman" w:cs="Times New Roman"/>
                <w:color w:val="000000"/>
                <w:lang w:val="uk-UA"/>
              </w:rPr>
              <w:t>06</w:t>
            </w:r>
            <w:r w:rsidRPr="00AF7BE6">
              <w:rPr>
                <w:rFonts w:ascii="Times New Roman" w:eastAsia="Times New Roman" w:hAnsi="Times New Roman" w:cs="Times New Roman"/>
                <w:color w:val="000000"/>
                <w:lang w:val="uk-UA"/>
              </w:rPr>
              <w:t>.201</w:t>
            </w:r>
            <w:r w:rsidR="00CA4148" w:rsidRPr="00AF7BE6">
              <w:rPr>
                <w:rFonts w:ascii="Times New Roman" w:eastAsia="Times New Roman" w:hAnsi="Times New Roman" w:cs="Times New Roman"/>
                <w:color w:val="000000"/>
                <w:lang w:val="uk-UA"/>
              </w:rPr>
              <w:t>0</w:t>
            </w:r>
            <w:r w:rsidRPr="00AF7BE6">
              <w:rPr>
                <w:rFonts w:ascii="Times New Roman" w:eastAsia="Times New Roman" w:hAnsi="Times New Roman" w:cs="Times New Roman"/>
                <w:color w:val="000000"/>
                <w:lang w:val="uk-UA"/>
              </w:rPr>
              <w:t xml:space="preserve"> р.</w:t>
            </w:r>
          </w:p>
        </w:tc>
      </w:tr>
      <w:tr w:rsidR="005022F6" w:rsidRPr="00AF7BE6" w14:paraId="44C57271" w14:textId="77777777" w:rsidTr="00CB32E7">
        <w:trPr>
          <w:trHeight w:val="197"/>
        </w:trPr>
        <w:tc>
          <w:tcPr>
            <w:tcW w:w="3631" w:type="dxa"/>
          </w:tcPr>
          <w:p w14:paraId="515379D0"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Номер запису в ЄДР</w:t>
            </w:r>
          </w:p>
        </w:tc>
        <w:tc>
          <w:tcPr>
            <w:tcW w:w="6967" w:type="dxa"/>
          </w:tcPr>
          <w:p w14:paraId="0A74FAC8" w14:textId="3ABA63A2" w:rsidR="005022F6" w:rsidRPr="00AF7BE6" w:rsidRDefault="00954E4C"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snapToGrid w:val="0"/>
                <w:color w:val="000000"/>
                <w:shd w:val="clear" w:color="auto" w:fill="FFFFFF"/>
                <w:lang w:val="uk-UA"/>
              </w:rPr>
              <w:t>1 585 102 0000 005840</w:t>
            </w:r>
          </w:p>
        </w:tc>
      </w:tr>
      <w:tr w:rsidR="005022F6" w:rsidRPr="00AF7BE6" w14:paraId="4276811D" w14:textId="77777777" w:rsidTr="00CB32E7">
        <w:tc>
          <w:tcPr>
            <w:tcW w:w="3631" w:type="dxa"/>
          </w:tcPr>
          <w:p w14:paraId="65C44432"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Основні види діяльності КВЕД:</w:t>
            </w:r>
          </w:p>
        </w:tc>
        <w:tc>
          <w:tcPr>
            <w:tcW w:w="6967" w:type="dxa"/>
          </w:tcPr>
          <w:p w14:paraId="21B071FB" w14:textId="77777777" w:rsidR="00B85FC8" w:rsidRPr="00AF7BE6" w:rsidRDefault="00B85FC8" w:rsidP="005022F6">
            <w:pPr>
              <w:widowControl w:val="0"/>
              <w:spacing w:after="0" w:line="240" w:lineRule="auto"/>
              <w:jc w:val="both"/>
              <w:rPr>
                <w:rFonts w:ascii="Times New Roman" w:eastAsia="Times New Roman" w:hAnsi="Times New Roman" w:cs="Times New Roman"/>
                <w:snapToGrid w:val="0"/>
                <w:color w:val="000000"/>
                <w:shd w:val="clear" w:color="auto" w:fill="FFFFFF"/>
                <w:lang w:val="uk-UA"/>
              </w:rPr>
            </w:pPr>
            <w:r w:rsidRPr="00AF7BE6">
              <w:rPr>
                <w:rFonts w:ascii="Times New Roman" w:eastAsia="Times New Roman" w:hAnsi="Times New Roman" w:cs="Times New Roman"/>
                <w:snapToGrid w:val="0"/>
                <w:color w:val="000000"/>
                <w:shd w:val="clear" w:color="auto" w:fill="FFFFFF"/>
                <w:lang w:val="uk-UA"/>
              </w:rPr>
              <w:t xml:space="preserve">08.12 Добування піску, гравію, глин і каоліну (основний); </w:t>
            </w:r>
          </w:p>
          <w:p w14:paraId="7A684C62" w14:textId="77777777" w:rsidR="00B85FC8" w:rsidRPr="00AF7BE6" w:rsidRDefault="00B85FC8" w:rsidP="005022F6">
            <w:pPr>
              <w:widowControl w:val="0"/>
              <w:spacing w:after="0" w:line="240" w:lineRule="auto"/>
              <w:jc w:val="both"/>
              <w:rPr>
                <w:rFonts w:ascii="Times New Roman" w:eastAsia="Times New Roman" w:hAnsi="Times New Roman" w:cs="Times New Roman"/>
                <w:snapToGrid w:val="0"/>
                <w:color w:val="000000"/>
                <w:shd w:val="clear" w:color="auto" w:fill="FFFFFF"/>
                <w:lang w:val="uk-UA"/>
              </w:rPr>
            </w:pPr>
            <w:r w:rsidRPr="00AF7BE6">
              <w:rPr>
                <w:rFonts w:ascii="Times New Roman" w:eastAsia="Times New Roman" w:hAnsi="Times New Roman" w:cs="Times New Roman"/>
                <w:snapToGrid w:val="0"/>
                <w:color w:val="000000"/>
                <w:shd w:val="clear" w:color="auto" w:fill="FFFFFF"/>
                <w:lang w:val="uk-UA"/>
              </w:rPr>
              <w:t xml:space="preserve">08.11 Добування декоративного та будівельного каменю, вапняку, гіпсу, крейди та глинистого сланцю; </w:t>
            </w:r>
          </w:p>
          <w:p w14:paraId="5DDB2AAF" w14:textId="77777777" w:rsidR="00B85FC8" w:rsidRPr="00AF7BE6" w:rsidRDefault="00B85FC8" w:rsidP="005022F6">
            <w:pPr>
              <w:widowControl w:val="0"/>
              <w:spacing w:after="0" w:line="240" w:lineRule="auto"/>
              <w:jc w:val="both"/>
              <w:rPr>
                <w:rFonts w:ascii="Times New Roman" w:eastAsia="Times New Roman" w:hAnsi="Times New Roman" w:cs="Times New Roman"/>
                <w:snapToGrid w:val="0"/>
                <w:color w:val="000000"/>
                <w:shd w:val="clear" w:color="auto" w:fill="FFFFFF"/>
                <w:lang w:val="uk-UA"/>
              </w:rPr>
            </w:pPr>
            <w:r w:rsidRPr="00AF7BE6">
              <w:rPr>
                <w:rFonts w:ascii="Times New Roman" w:eastAsia="Times New Roman" w:hAnsi="Times New Roman" w:cs="Times New Roman"/>
                <w:snapToGrid w:val="0"/>
                <w:color w:val="000000"/>
                <w:shd w:val="clear" w:color="auto" w:fill="FFFFFF"/>
                <w:lang w:val="uk-UA"/>
              </w:rPr>
              <w:t xml:space="preserve">46.90 Неспеціалізована оптова торгівля; </w:t>
            </w:r>
          </w:p>
          <w:p w14:paraId="1ED40007" w14:textId="77777777" w:rsidR="00B85FC8" w:rsidRPr="00AF7BE6" w:rsidRDefault="00B85FC8" w:rsidP="005022F6">
            <w:pPr>
              <w:widowControl w:val="0"/>
              <w:spacing w:after="0" w:line="240" w:lineRule="auto"/>
              <w:jc w:val="both"/>
              <w:rPr>
                <w:rFonts w:ascii="Times New Roman" w:eastAsia="Times New Roman" w:hAnsi="Times New Roman" w:cs="Times New Roman"/>
                <w:snapToGrid w:val="0"/>
                <w:color w:val="000000"/>
                <w:shd w:val="clear" w:color="auto" w:fill="FFFFFF"/>
                <w:lang w:val="uk-UA"/>
              </w:rPr>
            </w:pPr>
            <w:r w:rsidRPr="00AF7BE6">
              <w:rPr>
                <w:rFonts w:ascii="Times New Roman" w:eastAsia="Times New Roman" w:hAnsi="Times New Roman" w:cs="Times New Roman"/>
                <w:snapToGrid w:val="0"/>
                <w:color w:val="000000"/>
                <w:shd w:val="clear" w:color="auto" w:fill="FFFFFF"/>
                <w:lang w:val="uk-UA"/>
              </w:rPr>
              <w:t xml:space="preserve">49.41 Вантажний автомобільний транспорт; </w:t>
            </w:r>
          </w:p>
          <w:p w14:paraId="36D17A02" w14:textId="77777777" w:rsidR="00B85FC8" w:rsidRPr="00AF7BE6" w:rsidRDefault="00B85FC8" w:rsidP="005022F6">
            <w:pPr>
              <w:widowControl w:val="0"/>
              <w:spacing w:after="0" w:line="240" w:lineRule="auto"/>
              <w:jc w:val="both"/>
              <w:rPr>
                <w:rFonts w:ascii="Times New Roman" w:eastAsia="Times New Roman" w:hAnsi="Times New Roman" w:cs="Times New Roman"/>
                <w:snapToGrid w:val="0"/>
                <w:color w:val="000000"/>
                <w:shd w:val="clear" w:color="auto" w:fill="FFFFFF"/>
                <w:lang w:val="uk-UA"/>
              </w:rPr>
            </w:pPr>
            <w:r w:rsidRPr="00AF7BE6">
              <w:rPr>
                <w:rFonts w:ascii="Times New Roman" w:eastAsia="Times New Roman" w:hAnsi="Times New Roman" w:cs="Times New Roman"/>
                <w:snapToGrid w:val="0"/>
                <w:color w:val="000000"/>
                <w:shd w:val="clear" w:color="auto" w:fill="FFFFFF"/>
                <w:lang w:val="uk-UA"/>
              </w:rPr>
              <w:t xml:space="preserve">56.29 Постачання інших готових страв; </w:t>
            </w:r>
          </w:p>
          <w:p w14:paraId="6FE1BF58" w14:textId="4611E02A" w:rsidR="005022F6" w:rsidRPr="00AF7BE6" w:rsidRDefault="00B85FC8" w:rsidP="005022F6">
            <w:pPr>
              <w:widowControl w:val="0"/>
              <w:spacing w:after="0" w:line="240" w:lineRule="auto"/>
              <w:jc w:val="both"/>
              <w:rPr>
                <w:rFonts w:ascii="Times New Roman" w:eastAsia="Times New Roman" w:hAnsi="Times New Roman" w:cs="Times New Roman"/>
                <w:snapToGrid w:val="0"/>
                <w:color w:val="000000"/>
                <w:sz w:val="24"/>
                <w:shd w:val="clear" w:color="auto" w:fill="FFFFFF"/>
                <w:lang w:val="uk-UA"/>
              </w:rPr>
            </w:pPr>
            <w:r w:rsidRPr="00AF7BE6">
              <w:rPr>
                <w:rFonts w:ascii="Times New Roman" w:eastAsia="Times New Roman" w:hAnsi="Times New Roman" w:cs="Times New Roman"/>
                <w:snapToGrid w:val="0"/>
                <w:color w:val="000000"/>
                <w:shd w:val="clear" w:color="auto" w:fill="FFFFFF"/>
                <w:lang w:val="uk-UA"/>
              </w:rPr>
              <w:t>41.20 Будівництво житлових і нежитлових будівель</w:t>
            </w:r>
          </w:p>
        </w:tc>
      </w:tr>
      <w:tr w:rsidR="005022F6" w:rsidRPr="00AF7BE6" w14:paraId="6471CE5F" w14:textId="77777777" w:rsidTr="00CB32E7">
        <w:tc>
          <w:tcPr>
            <w:tcW w:w="3631" w:type="dxa"/>
            <w:shd w:val="clear" w:color="auto" w:fill="auto"/>
          </w:tcPr>
          <w:p w14:paraId="57440FF9"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Дата внесення останніх змін до Статуту</w:t>
            </w:r>
          </w:p>
        </w:tc>
        <w:tc>
          <w:tcPr>
            <w:tcW w:w="6967" w:type="dxa"/>
          </w:tcPr>
          <w:p w14:paraId="6925A683" w14:textId="32F2FAE4" w:rsidR="005022F6" w:rsidRPr="00AF7BE6" w:rsidRDefault="005A7578"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snapToGrid w:val="0"/>
                <w:color w:val="000000"/>
                <w:lang w:val="uk-UA"/>
              </w:rPr>
              <w:t>11.04.2018 р.</w:t>
            </w:r>
          </w:p>
        </w:tc>
      </w:tr>
      <w:tr w:rsidR="005022F6" w:rsidRPr="00AF7BE6" w14:paraId="5A07E18E" w14:textId="77777777" w:rsidTr="00CB32E7">
        <w:tc>
          <w:tcPr>
            <w:tcW w:w="3631" w:type="dxa"/>
          </w:tcPr>
          <w:p w14:paraId="7D070A18" w14:textId="77777777" w:rsidR="005022F6" w:rsidRPr="00AF7BE6" w:rsidRDefault="005022F6" w:rsidP="005022F6">
            <w:pPr>
              <w:widowControl w:val="0"/>
              <w:spacing w:after="0" w:line="240" w:lineRule="auto"/>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Керівник, головний бухгалтер, кількість працівників</w:t>
            </w:r>
          </w:p>
        </w:tc>
        <w:tc>
          <w:tcPr>
            <w:tcW w:w="6967" w:type="dxa"/>
          </w:tcPr>
          <w:p w14:paraId="121B3707" w14:textId="6FB1EB1C" w:rsidR="005022F6" w:rsidRPr="00AF7BE6" w:rsidRDefault="005022F6" w:rsidP="005022F6">
            <w:pPr>
              <w:widowControl w:val="0"/>
              <w:spacing w:after="0" w:line="240" w:lineRule="auto"/>
              <w:jc w:val="both"/>
              <w:rPr>
                <w:rFonts w:ascii="Times New Roman" w:eastAsia="Times New Roman" w:hAnsi="Times New Roman" w:cs="Times New Roman"/>
                <w:snapToGrid w:val="0"/>
                <w:color w:val="000000"/>
                <w:sz w:val="24"/>
                <w:shd w:val="clear" w:color="auto" w:fill="FFFFFF"/>
                <w:lang w:val="uk-UA"/>
              </w:rPr>
            </w:pPr>
            <w:r w:rsidRPr="00AF7BE6">
              <w:rPr>
                <w:rFonts w:ascii="Times New Roman" w:eastAsia="Times New Roman" w:hAnsi="Times New Roman" w:cs="Times New Roman"/>
                <w:color w:val="000000"/>
                <w:lang w:val="uk-UA"/>
              </w:rPr>
              <w:t xml:space="preserve">Керівник – </w:t>
            </w:r>
            <w:r w:rsidR="00610ADE" w:rsidRPr="00AF7BE6">
              <w:rPr>
                <w:rFonts w:ascii="Times New Roman" w:eastAsia="Times New Roman" w:hAnsi="Times New Roman" w:cs="Times New Roman"/>
                <w:snapToGrid w:val="0"/>
                <w:color w:val="000000"/>
                <w:shd w:val="clear" w:color="auto" w:fill="FFFFFF"/>
                <w:lang w:val="uk-UA"/>
              </w:rPr>
              <w:t>Федотов Геннадій Іванович</w:t>
            </w:r>
          </w:p>
          <w:p w14:paraId="391AC835" w14:textId="2DD54932" w:rsidR="005022F6" w:rsidRPr="00AF7BE6" w:rsidRDefault="005022F6"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 xml:space="preserve">Головний бухгалтер – </w:t>
            </w:r>
            <w:r w:rsidR="00610ADE" w:rsidRPr="00AF7BE6">
              <w:rPr>
                <w:rFonts w:ascii="Times New Roman" w:eastAsia="Times New Roman" w:hAnsi="Times New Roman" w:cs="Times New Roman"/>
                <w:color w:val="000000"/>
                <w:lang w:val="uk-UA"/>
              </w:rPr>
              <w:t>Полосухіна Світлана Анатоліївна</w:t>
            </w:r>
            <w:r w:rsidRPr="00AF7BE6">
              <w:rPr>
                <w:rFonts w:ascii="Times New Roman" w:eastAsia="Times New Roman" w:hAnsi="Times New Roman" w:cs="Times New Roman"/>
                <w:color w:val="000000"/>
                <w:lang w:val="uk-UA"/>
              </w:rPr>
              <w:t xml:space="preserve"> </w:t>
            </w:r>
          </w:p>
          <w:p w14:paraId="537F69BA" w14:textId="7CA0F857" w:rsidR="005022F6" w:rsidRPr="00AF7BE6" w:rsidRDefault="005022F6" w:rsidP="005022F6">
            <w:pPr>
              <w:widowControl w:val="0"/>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 xml:space="preserve">Середня кількість працівників – </w:t>
            </w:r>
            <w:r w:rsidR="00610ADE" w:rsidRPr="00AF7BE6">
              <w:rPr>
                <w:rFonts w:ascii="Times New Roman" w:eastAsia="Times New Roman" w:hAnsi="Times New Roman" w:cs="Times New Roman"/>
                <w:color w:val="000000"/>
                <w:lang w:val="uk-UA"/>
              </w:rPr>
              <w:t>317</w:t>
            </w:r>
            <w:r w:rsidRPr="00AF7BE6">
              <w:rPr>
                <w:rFonts w:ascii="Times New Roman" w:eastAsia="Times New Roman" w:hAnsi="Times New Roman" w:cs="Times New Roman"/>
                <w:color w:val="000000"/>
                <w:lang w:val="uk-UA"/>
              </w:rPr>
              <w:t xml:space="preserve"> особи</w:t>
            </w:r>
          </w:p>
        </w:tc>
      </w:tr>
    </w:tbl>
    <w:p w14:paraId="7B64EE62" w14:textId="77777777" w:rsidR="002E607D" w:rsidRPr="00AF7BE6" w:rsidRDefault="002E607D" w:rsidP="0056170E">
      <w:pPr>
        <w:keepLines/>
        <w:spacing w:after="0" w:line="240" w:lineRule="auto"/>
        <w:ind w:firstLine="567"/>
        <w:jc w:val="both"/>
        <w:rPr>
          <w:rFonts w:ascii="Times New Roman" w:eastAsia="Times New Roman" w:hAnsi="Times New Roman" w:cs="Times New Roman"/>
          <w:color w:val="000000"/>
          <w:lang w:val="uk-UA"/>
        </w:rPr>
      </w:pPr>
    </w:p>
    <w:p w14:paraId="6A1A11B9" w14:textId="307DBCCB" w:rsidR="0056170E" w:rsidRPr="00AF7BE6" w:rsidRDefault="0056170E" w:rsidP="0056170E">
      <w:pPr>
        <w:keepLine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Аудиторам надано до перевірки фінансову звітність Товариства складену за </w:t>
      </w:r>
      <w:r w:rsidR="001B3A50" w:rsidRPr="00AF7BE6">
        <w:rPr>
          <w:rFonts w:ascii="Times New Roman" w:eastAsia="Times New Roman" w:hAnsi="Times New Roman" w:cs="Times New Roman"/>
          <w:color w:val="000000"/>
          <w:lang w:val="uk-UA"/>
        </w:rPr>
        <w:t>Міжнародними стандартами фінансової звітності</w:t>
      </w:r>
      <w:r w:rsidRPr="00AF7BE6">
        <w:rPr>
          <w:rFonts w:ascii="Times New Roman" w:eastAsia="Times New Roman" w:hAnsi="Times New Roman" w:cs="Times New Roman"/>
          <w:color w:val="000000"/>
          <w:lang w:val="uk-UA"/>
        </w:rPr>
        <w:t>, а саме:</w:t>
      </w:r>
    </w:p>
    <w:p w14:paraId="0526C43F" w14:textId="77777777" w:rsidR="0056170E" w:rsidRPr="00AF7BE6" w:rsidRDefault="0056170E" w:rsidP="0056170E">
      <w:pPr>
        <w:pStyle w:val="ae"/>
        <w:keepLines/>
        <w:numPr>
          <w:ilvl w:val="0"/>
          <w:numId w:val="13"/>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Баланс (Звіт про фінансовий стан) (Форма № 1) станом на 31.12.2020 року;</w:t>
      </w:r>
    </w:p>
    <w:p w14:paraId="3B4356CA" w14:textId="77777777" w:rsidR="0056170E" w:rsidRPr="00AF7BE6" w:rsidRDefault="0056170E" w:rsidP="0056170E">
      <w:pPr>
        <w:pStyle w:val="ae"/>
        <w:keepLines/>
        <w:numPr>
          <w:ilvl w:val="0"/>
          <w:numId w:val="13"/>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Звіт про фінансові результати (Звіт про сукупний дохід) (Форма № 2) за 2020 рік;</w:t>
      </w:r>
    </w:p>
    <w:p w14:paraId="21655C2D" w14:textId="77777777" w:rsidR="0056170E" w:rsidRPr="00AF7BE6" w:rsidRDefault="0056170E" w:rsidP="0056170E">
      <w:pPr>
        <w:pStyle w:val="ae"/>
        <w:keepLines/>
        <w:numPr>
          <w:ilvl w:val="0"/>
          <w:numId w:val="13"/>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Звіт про рух грошових коштів (за прямим методом), (Форма № 3) за 2020 рік;</w:t>
      </w:r>
    </w:p>
    <w:p w14:paraId="488DE730" w14:textId="77777777" w:rsidR="0056170E" w:rsidRPr="00AF7BE6" w:rsidRDefault="0056170E" w:rsidP="0056170E">
      <w:pPr>
        <w:pStyle w:val="ae"/>
        <w:keepLines/>
        <w:numPr>
          <w:ilvl w:val="0"/>
          <w:numId w:val="13"/>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Звіт про власний капітал (Форма № 4) за 2020 рік;</w:t>
      </w:r>
    </w:p>
    <w:p w14:paraId="06EB092A" w14:textId="77777777" w:rsidR="0056170E" w:rsidRPr="00AF7BE6" w:rsidRDefault="0056170E" w:rsidP="0056170E">
      <w:pPr>
        <w:pStyle w:val="ae"/>
        <w:keepLines/>
        <w:numPr>
          <w:ilvl w:val="0"/>
          <w:numId w:val="13"/>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Примітки фінансової звітності </w:t>
      </w:r>
      <w:r w:rsidR="00585F4C" w:rsidRPr="00AF7BE6">
        <w:rPr>
          <w:rFonts w:ascii="Times New Roman" w:eastAsia="Times New Roman" w:hAnsi="Times New Roman" w:cs="Times New Roman"/>
          <w:color w:val="000000"/>
          <w:lang w:val="uk-UA"/>
        </w:rPr>
        <w:t xml:space="preserve">(Форма №5) </w:t>
      </w:r>
      <w:r w:rsidRPr="00AF7BE6">
        <w:rPr>
          <w:rFonts w:ascii="Times New Roman" w:eastAsia="Times New Roman" w:hAnsi="Times New Roman" w:cs="Times New Roman"/>
          <w:color w:val="000000"/>
          <w:lang w:val="uk-UA"/>
        </w:rPr>
        <w:t>за рік, що закінчився 31 грудня 2020 року.</w:t>
      </w:r>
    </w:p>
    <w:p w14:paraId="01CB32E1" w14:textId="62F0F653"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Фінансова звітність Товариства за 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фінансовий рік є звітністю, яка відповідає вимогам </w:t>
      </w:r>
      <w:r w:rsidR="001B3A50" w:rsidRPr="00AF7BE6">
        <w:rPr>
          <w:rFonts w:ascii="Times New Roman" w:eastAsia="Times New Roman" w:hAnsi="Times New Roman" w:cs="Times New Roman"/>
          <w:color w:val="000000"/>
          <w:lang w:val="uk-UA"/>
        </w:rPr>
        <w:t>Міжнародних стандартів фінансової звітності (надалі – МСФЗ)</w:t>
      </w:r>
      <w:r w:rsidRPr="00AF7BE6">
        <w:rPr>
          <w:rFonts w:ascii="Times New Roman" w:eastAsia="Times New Roman" w:hAnsi="Times New Roman" w:cs="Times New Roman"/>
          <w:color w:val="000000"/>
          <w:lang w:val="uk-UA"/>
        </w:rPr>
        <w:t xml:space="preserve">. </w:t>
      </w:r>
    </w:p>
    <w:p w14:paraId="6B6B9211" w14:textId="77777777"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Фінансова звітність складена на основі принципу справедливої вартості, крім тих, справедливу вартість яких неможливо оцінити достовірно. Ця фінансова звітність відображає поточну оцінку управлінського персоналу Товариства.</w:t>
      </w:r>
    </w:p>
    <w:p w14:paraId="18CF7617" w14:textId="77777777"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Аудиторський висновок було підготовлено відповідно до </w:t>
      </w:r>
      <w:r w:rsidR="0058020D" w:rsidRPr="00AF7BE6">
        <w:rPr>
          <w:rFonts w:ascii="Times New Roman" w:eastAsia="Times New Roman" w:hAnsi="Times New Roman" w:cs="Times New Roman"/>
          <w:color w:val="000000"/>
          <w:shd w:val="clear" w:color="auto" w:fill="FFFFFF"/>
          <w:lang w:val="uk-UA"/>
        </w:rPr>
        <w:t>Міжнародних стандартів контролю якості</w:t>
      </w:r>
      <w:r w:rsidR="0058020D"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аудиту, огляду іншого надання впевненості та супутніх послуг а також вимог НКЦПФР, діючих до такого висновку станом на дату його формування та інших стандартів, що стосуються підготовки аудиторського висновку.</w:t>
      </w:r>
    </w:p>
    <w:p w14:paraId="69F207BA" w14:textId="77777777"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Дійсна перевірка, проводилася у відповідності з вимогами Закону України "Про  державне  регулювання  ринку  цінних паперів  в  Україні" від 30.10.1996 року № </w:t>
      </w:r>
      <w:r w:rsidRPr="00AF7BE6">
        <w:rPr>
          <w:rFonts w:ascii="Times New Roman" w:eastAsia="Times New Roman" w:hAnsi="Times New Roman" w:cs="Times New Roman"/>
          <w:bCs/>
          <w:color w:val="000000"/>
          <w:lang w:val="uk-UA"/>
        </w:rPr>
        <w:t>448/96-ВР</w:t>
      </w:r>
      <w:r w:rsidRPr="00AF7BE6">
        <w:rPr>
          <w:rFonts w:ascii="Times New Roman" w:eastAsia="Times New Roman" w:hAnsi="Times New Roman" w:cs="Times New Roman"/>
          <w:color w:val="000000"/>
          <w:lang w:val="uk-UA"/>
        </w:rPr>
        <w:t xml:space="preserve"> з наступними змінами та доповненнями,  Закону України "Про цінні папери та фондовий ринок" від 23.02.2006 року № 3480-IV з наступними змінами та доповненнями, Закону України " Про аудит фінансової звітності та аудиторську діяльність" від 21.12.2017 року № 2258-VIII з наступними змінами та доповненнями, «Про акціонерні товариства» від 17.09.2008 № 514-VI, з наступними змінами та доповненнями та Міжнародних стандартів контролю якості, аудиту, огляду, іншого надання впевненості та супутніх послуг, прийнятих Аудиторською палатою України в якості національних, які використовуються під час аудиторської перевірки фінансової звітності Товариства і перевірок на відповідність. Ці стандарти вимагають, щоб планування і проведення аудиту було спрямовано на одержання розумних доказів відсутності суттєвих перекручень і помилок у фінансовій звітності Товариства.</w:t>
      </w:r>
    </w:p>
    <w:p w14:paraId="051F4D54" w14:textId="77777777"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Аудитори керувалися законодавством України у сфері господарської діяльності та оподаткування, встановленим порядком ведення бухгалтерського обліку і складання фінансової звітності, міжнародними стандартами аудиту, використовували як загальнонаукові методичні прийоми аудиторського контролю (моделювання, абстрагування та ін.) так і власні методичні прийоми (документальні, розрахунково-методичні узагальнення результатів аудиту). Перевірка проводилась відповідно до вимог </w:t>
      </w:r>
      <w:hyperlink r:id="rId8">
        <w:r w:rsidRPr="00AF7BE6">
          <w:rPr>
            <w:rFonts w:ascii="Times New Roman" w:eastAsia="Times New Roman" w:hAnsi="Times New Roman" w:cs="Times New Roman"/>
            <w:color w:val="000000"/>
            <w:lang w:val="uk-UA"/>
          </w:rPr>
          <w:t>Міжнародних стандартів контролю якості, аудиту, огляду, іншого надання впевненості та супутніх послуг</w:t>
        </w:r>
      </w:hyperlink>
      <w:r w:rsidRPr="00AF7BE6">
        <w:rPr>
          <w:rFonts w:ascii="Times New Roman" w:eastAsia="Times New Roman" w:hAnsi="Times New Roman" w:cs="Times New Roman"/>
          <w:color w:val="000000"/>
          <w:lang w:val="uk-UA"/>
        </w:rPr>
        <w:t>, зокрема Міжнародних станда</w:t>
      </w:r>
      <w:r w:rsidR="0056170E" w:rsidRPr="00AF7BE6">
        <w:rPr>
          <w:rFonts w:ascii="Times New Roman" w:eastAsia="Times New Roman" w:hAnsi="Times New Roman" w:cs="Times New Roman"/>
          <w:color w:val="000000"/>
          <w:lang w:val="uk-UA"/>
        </w:rPr>
        <w:t xml:space="preserve">ртів аудиту 700, 701, 705, 720. </w:t>
      </w:r>
      <w:r w:rsidRPr="00AF7BE6">
        <w:rPr>
          <w:rFonts w:ascii="Times New Roman" w:eastAsia="Times New Roman" w:hAnsi="Times New Roman" w:cs="Times New Roman"/>
          <w:color w:val="000000"/>
          <w:lang w:val="uk-UA"/>
        </w:rPr>
        <w:t xml:space="preserve">Перевіркою передбачалось та планувалось, в рамках обмежень, встановлених договором, щодо обсягу, строків перевірки, та з урахуванням розміру суттєвості помилок з метою отримання достатньої інформації про відсутність або наявність суттєвих помилок у перевіреній фінансовій звітності та задля складання висновку про ступінь достовірності фінансової звітності  та надання оцінки реального фінансового стану об’єкта перевірки. Під час аудиту проводилось дослідження, шляхом тестування доказів щодо обґрунтування сум чи іншої інформації, розкритої у фінансовій звітності, а також </w:t>
      </w:r>
      <w:r w:rsidRPr="00AF7BE6">
        <w:rPr>
          <w:rFonts w:ascii="Times New Roman" w:eastAsia="Times New Roman" w:hAnsi="Times New Roman" w:cs="Times New Roman"/>
          <w:color w:val="000000"/>
          <w:lang w:val="uk-UA"/>
        </w:rPr>
        <w:lastRenderedPageBreak/>
        <w:t>оцінка відповідності застосованих принципів обліку та звітності в Україні, чинних протягом періоду перевірки.</w:t>
      </w:r>
    </w:p>
    <w:p w14:paraId="1CE6526E" w14:textId="77777777"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Використовуючи загальнонаукові та специфічні методичні прийоми, були перевірені дані, за якими була складена перевірена звітність. Під час перевірки були досліджені бухгалтерські принципи оцінки матеріальних статей балансу, що застосовані на об’єкті перевірки: оцінка оборотних і необоротних активів, методи амортизації основних засобів, тощо. </w:t>
      </w:r>
    </w:p>
    <w:p w14:paraId="4AF5014E" w14:textId="77777777" w:rsidR="003E7DE7" w:rsidRPr="00AF7BE6" w:rsidRDefault="003E7DE7" w:rsidP="003E7DE7">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Ми вважаємо, що отримали достатні та відповідні аудиторські докази для висловлення нашої думки.</w:t>
      </w:r>
    </w:p>
    <w:p w14:paraId="343FE1C8" w14:textId="77777777" w:rsidR="00200FBF" w:rsidRPr="00AF7BE6" w:rsidRDefault="00200FBF" w:rsidP="00200FBF">
      <w:pPr>
        <w:suppressAutoHyphens/>
        <w:spacing w:before="240" w:after="0" w:line="240" w:lineRule="auto"/>
        <w:ind w:firstLine="567"/>
        <w:jc w:val="both"/>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Опис аудиторської перевірки та опис важливих аспектів облікової політики</w:t>
      </w:r>
    </w:p>
    <w:p w14:paraId="11C58456" w14:textId="77777777" w:rsidR="00200FBF" w:rsidRPr="00AF7BE6" w:rsidRDefault="00200FBF" w:rsidP="00200FBF">
      <w:pPr>
        <w:spacing w:after="0" w:line="240" w:lineRule="auto"/>
        <w:ind w:firstLine="709"/>
        <w:jc w:val="both"/>
        <w:rPr>
          <w:rFonts w:ascii="Times New Roman" w:eastAsia="Times New Roman" w:hAnsi="Times New Roman" w:cs="Times New Roman"/>
          <w:color w:val="000000"/>
          <w:sz w:val="12"/>
          <w:lang w:val="uk-UA"/>
        </w:rPr>
      </w:pPr>
    </w:p>
    <w:p w14:paraId="61728014" w14:textId="77777777" w:rsidR="00200FBF" w:rsidRPr="00AF7BE6" w:rsidRDefault="00200FBF" w:rsidP="00200FB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Планування і проведення аудиту було спрямоване на одержання розумних підтверджень щодо відсутності у фінансовій звітності суттєвих помилок. Дослідження здійснювалось шляхом тестування доказів на обґрунтування сум та інформації, розкритих у фінансовій звітності, а також оцінка відповідності застосованих принципів обліку нормативним вимогам, щодо організації бухгалтерського обліку і звітності в Україні, чинним протягом періоду перевірки.</w:t>
      </w:r>
    </w:p>
    <w:p w14:paraId="00A858E2" w14:textId="7CD9C2B0" w:rsidR="00200FBF" w:rsidRPr="00AF7BE6" w:rsidRDefault="00200FBF" w:rsidP="00200FB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Фінансова звітність Товариства підготовлена згідно з вимогами </w:t>
      </w:r>
      <w:r w:rsidR="001B3A50" w:rsidRPr="00AF7BE6">
        <w:rPr>
          <w:rFonts w:ascii="Times New Roman" w:eastAsia="Times New Roman" w:hAnsi="Times New Roman" w:cs="Times New Roman"/>
          <w:color w:val="000000"/>
          <w:lang w:val="uk-UA"/>
        </w:rPr>
        <w:t>МСФЗ</w:t>
      </w:r>
      <w:r w:rsidRPr="00AF7BE6">
        <w:rPr>
          <w:rFonts w:ascii="Times New Roman" w:eastAsia="Times New Roman" w:hAnsi="Times New Roman" w:cs="Times New Roman"/>
          <w:color w:val="000000"/>
          <w:lang w:val="uk-UA"/>
        </w:rPr>
        <w:t xml:space="preserve">, та Облікової політики </w:t>
      </w:r>
      <w:r w:rsidR="009B38E5"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xml:space="preserve">. </w:t>
      </w:r>
    </w:p>
    <w:p w14:paraId="556692DE" w14:textId="77777777" w:rsidR="00200FBF" w:rsidRPr="00AF7BE6" w:rsidRDefault="00200FBF" w:rsidP="00200FB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Фінансова звітність Товариства  складена станом на кінець останнього дня звітного року. </w:t>
      </w:r>
    </w:p>
    <w:p w14:paraId="5B1D3467" w14:textId="2494D7A3" w:rsidR="00200FBF" w:rsidRPr="00AF7BE6" w:rsidRDefault="00200FBF" w:rsidP="00200FB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Аудиторська перевір</w:t>
      </w:r>
      <w:r w:rsidR="0056170E" w:rsidRPr="00AF7BE6">
        <w:rPr>
          <w:rFonts w:ascii="Times New Roman" w:eastAsia="Times New Roman" w:hAnsi="Times New Roman" w:cs="Times New Roman"/>
          <w:color w:val="000000"/>
          <w:lang w:val="uk-UA"/>
        </w:rPr>
        <w:t xml:space="preserve">ка включає оцінку застосованих </w:t>
      </w:r>
      <w:r w:rsidRPr="00AF7BE6">
        <w:rPr>
          <w:rFonts w:ascii="Times New Roman" w:eastAsia="Times New Roman" w:hAnsi="Times New Roman" w:cs="Times New Roman"/>
          <w:color w:val="000000"/>
          <w:lang w:val="uk-UA"/>
        </w:rPr>
        <w:t xml:space="preserve">стандартів фінансової звітності                                         </w:t>
      </w:r>
      <w:r w:rsidR="009B38E5" w:rsidRPr="00AF7BE6">
        <w:rPr>
          <w:rFonts w:ascii="Times New Roman" w:hAnsi="Times New Roman" w:cs="Times New Roman"/>
          <w:lang w:val="uk-UA"/>
        </w:rPr>
        <w:t>Акціонерного товариства «Кременчуцьке кар’єроуправління «Кварц»</w:t>
      </w:r>
      <w:r w:rsidR="001F6095"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 xml:space="preserve">а також оцінку загального подання фінансових звітів в цілому. Підготовка фінансової звітності вимагає від керівництва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 </w:t>
      </w:r>
    </w:p>
    <w:p w14:paraId="0A702BFD" w14:textId="77777777" w:rsidR="00200FBF" w:rsidRPr="00AF7BE6" w:rsidRDefault="00200FBF" w:rsidP="00200FB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Аудитор при проведенні аудиторської перевірки виходив з того, що дані та інформація, які надані в первинних документах, є достовірними та такими, які відповідають суті здійснених господарських операцій.</w:t>
      </w:r>
    </w:p>
    <w:p w14:paraId="0C5430DA" w14:textId="77777777" w:rsidR="00200FBF" w:rsidRPr="00AF7BE6" w:rsidRDefault="00200FBF" w:rsidP="00200FBF">
      <w:pPr>
        <w:spacing w:before="240" w:after="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Відомості щодо діяльності. Розкриття інформації про стан бухгалтерського обліку та фінансової звітності</w:t>
      </w:r>
    </w:p>
    <w:p w14:paraId="14E2C78E" w14:textId="77777777" w:rsidR="00200FBF" w:rsidRPr="00AF7BE6" w:rsidRDefault="00200FBF" w:rsidP="00200FBF">
      <w:pPr>
        <w:suppressAutoHyphens/>
        <w:spacing w:after="0" w:line="240" w:lineRule="auto"/>
        <w:ind w:firstLine="709"/>
        <w:rPr>
          <w:rFonts w:ascii="Times New Roman" w:eastAsia="Times New Roman" w:hAnsi="Times New Roman" w:cs="Times New Roman"/>
          <w:b/>
          <w:color w:val="000000"/>
          <w:sz w:val="14"/>
          <w:shd w:val="clear" w:color="auto" w:fill="FFFFFF"/>
          <w:lang w:val="uk-UA"/>
        </w:rPr>
      </w:pPr>
    </w:p>
    <w:p w14:paraId="5B0E5A71" w14:textId="77777777" w:rsidR="00200FBF" w:rsidRPr="00AF7BE6" w:rsidRDefault="00200FBF" w:rsidP="00CC5031">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Фінансова звітність Товариства станом на 31.12.20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в усіх суттєвих аспектах достовірно та повно подає фінансову інформацію про Товариство станом на 31.12.20</w:t>
      </w:r>
      <w:r w:rsidR="0056170E" w:rsidRPr="00AF7BE6">
        <w:rPr>
          <w:rFonts w:ascii="Times New Roman" w:eastAsia="Times New Roman" w:hAnsi="Times New Roman" w:cs="Times New Roman"/>
          <w:color w:val="000000"/>
          <w:lang w:val="uk-UA"/>
        </w:rPr>
        <w:t xml:space="preserve">20 </w:t>
      </w:r>
      <w:r w:rsidRPr="00AF7BE6">
        <w:rPr>
          <w:rFonts w:ascii="Times New Roman" w:eastAsia="Times New Roman" w:hAnsi="Times New Roman" w:cs="Times New Roman"/>
          <w:color w:val="000000"/>
          <w:lang w:val="uk-UA"/>
        </w:rPr>
        <w:t>року згідно з нормативними вимогами щодо організації бухгалтерського обліку та звітності в Україні.</w:t>
      </w:r>
    </w:p>
    <w:p w14:paraId="50B0824F" w14:textId="564431E5" w:rsidR="00200FBF" w:rsidRPr="00AF7BE6" w:rsidRDefault="00200FBF" w:rsidP="00CC5031">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Товариство для складання фінансової звітності використовує Концептуальну основу за </w:t>
      </w:r>
      <w:r w:rsidR="001B3A50" w:rsidRPr="00AF7BE6">
        <w:rPr>
          <w:rFonts w:ascii="Times New Roman" w:eastAsia="Times New Roman" w:hAnsi="Times New Roman" w:cs="Times New Roman"/>
          <w:color w:val="000000"/>
          <w:lang w:val="uk-UA"/>
        </w:rPr>
        <w:t>МСФЗ</w:t>
      </w:r>
      <w:r w:rsidRPr="00AF7BE6">
        <w:rPr>
          <w:rFonts w:ascii="Times New Roman" w:eastAsia="Times New Roman" w:hAnsi="Times New Roman" w:cs="Times New Roman"/>
          <w:color w:val="000000"/>
          <w:lang w:val="uk-UA"/>
        </w:rPr>
        <w:t>. Аудиторською перевіркою було охоплено повний пакет фінансової звітності, складені станом на 31.12.20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w:t>
      </w:r>
    </w:p>
    <w:p w14:paraId="1E83E1B3" w14:textId="77777777" w:rsidR="00200FBF" w:rsidRPr="00AF7BE6" w:rsidRDefault="00200FBF" w:rsidP="00CC5031">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На Товаристві фінансова звітність складалась протягом 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своєчасно та представлялась до відповідних контролюючих органів.</w:t>
      </w:r>
    </w:p>
    <w:p w14:paraId="44765111" w14:textId="77777777" w:rsidR="00200FBF" w:rsidRPr="00AF7BE6" w:rsidRDefault="00200FBF" w:rsidP="00CC5031">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Бухгалтерський облік Товариства ведеться з використанням комп’ютерної техніки та програмного забезпечення 1С-бухгалтерія.</w:t>
      </w:r>
    </w:p>
    <w:p w14:paraId="0A10C621" w14:textId="209D21CF" w:rsidR="00200FBF" w:rsidRPr="00AF7BE6" w:rsidRDefault="00200FBF" w:rsidP="00CC5031">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Фінансова звітність Товариства за 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рік своєчасно складена та подана до відповідних державних органів управління у повному обсязі. В цілому методологія та організація бухгалтерського обліку у Товаристві відповідає встановленим вимогам чинного законодавства та прийнятої Товариством облікової політики за 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рік Аудиторською перевіркою підтверджено, що бухгалтерський облік на Товаристві протягом 20</w:t>
      </w:r>
      <w:r w:rsidR="0056170E"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вівся в цілому у відповідності до вимог Закону України "Про бухгалтерський облік та фінансову звітність в Україні" № 996-XIV від 16.07.99 року з наступними змінами та доповненнями, відповідно до </w:t>
      </w:r>
      <w:r w:rsidR="001B3A50" w:rsidRPr="00AF7BE6">
        <w:rPr>
          <w:rFonts w:ascii="Times New Roman" w:eastAsia="Times New Roman" w:hAnsi="Times New Roman" w:cs="Times New Roman"/>
          <w:color w:val="000000"/>
          <w:lang w:val="uk-UA"/>
        </w:rPr>
        <w:t>МСФЗ</w:t>
      </w:r>
      <w:r w:rsidR="0056170E"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та Інструкції "Про застосування плану рахунків бухгалтерського обліку активів, капіталу, зобов'язань і господарських операцій підприємств та організацій", затвердженої Наказом Мінфіну України від 30.11.99 року № 291 з наступними змінами та доповненнями та інших нормативних документів з питань організації обліку. Порушень обліку не виявлено.</w:t>
      </w:r>
    </w:p>
    <w:p w14:paraId="408DA85F" w14:textId="77777777" w:rsidR="008F1320" w:rsidRPr="00AF7BE6" w:rsidRDefault="008F1320" w:rsidP="008F1320">
      <w:pPr>
        <w:tabs>
          <w:tab w:val="left" w:pos="-142"/>
        </w:tabs>
        <w:spacing w:before="240" w:after="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щодо обліку необоротних активів</w:t>
      </w:r>
    </w:p>
    <w:p w14:paraId="158109D3" w14:textId="77777777" w:rsidR="008F1320" w:rsidRPr="00AF7BE6" w:rsidRDefault="008F1320" w:rsidP="008F1320">
      <w:pPr>
        <w:spacing w:after="0" w:line="240" w:lineRule="auto"/>
        <w:ind w:firstLine="709"/>
        <w:jc w:val="both"/>
        <w:rPr>
          <w:rFonts w:ascii="Times New Roman" w:eastAsia="Times New Roman" w:hAnsi="Times New Roman" w:cs="Times New Roman"/>
          <w:color w:val="000000"/>
          <w:lang w:val="uk-UA"/>
        </w:rPr>
      </w:pPr>
    </w:p>
    <w:p w14:paraId="126297CE" w14:textId="77777777" w:rsidR="008F1320" w:rsidRPr="00AF7BE6" w:rsidRDefault="008F1320"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На думку аудиторів, облік  необоротних активів Товариства, відповідає чинному законодавству України, а саме</w:t>
      </w:r>
      <w:r w:rsidR="0056170E"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згідно обраній концептуальній основі, Інструкції про застосування Плану рахунків бухгалтерського обліку активів, капіталу, зобов'язань і господарських операцій підприємств і організацій від 30.11.1999 року № 291. </w:t>
      </w:r>
    </w:p>
    <w:p w14:paraId="4394DE84" w14:textId="77777777" w:rsidR="00E01095" w:rsidRPr="00AF7BE6" w:rsidRDefault="008F1320" w:rsidP="00E01095">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Порушень в обліку необоротних активів не виявлено. За перевірений період незалежною аудиторською перевіркою встановлено, що необоротні активи </w:t>
      </w:r>
      <w:r w:rsidR="008355C0" w:rsidRPr="00AF7BE6">
        <w:rPr>
          <w:rFonts w:ascii="Times New Roman" w:hAnsi="Times New Roman" w:cs="Times New Roman"/>
          <w:lang w:val="uk-UA"/>
        </w:rPr>
        <w:t>Акціонерного товариства «Кременчуцьке кар’єроуправління «Кварц»</w:t>
      </w:r>
      <w:r w:rsidR="000964E7"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 xml:space="preserve">складають </w:t>
      </w:r>
      <w:r w:rsidR="00E01095" w:rsidRPr="00AF7BE6">
        <w:rPr>
          <w:rFonts w:ascii="Times New Roman" w:eastAsia="Times New Roman" w:hAnsi="Times New Roman" w:cs="Times New Roman"/>
          <w:color w:val="000000"/>
          <w:lang w:val="uk-UA"/>
        </w:rPr>
        <w:t>36 031</w:t>
      </w:r>
      <w:r w:rsidRPr="00AF7BE6">
        <w:rPr>
          <w:rFonts w:ascii="Times New Roman" w:eastAsia="Times New Roman" w:hAnsi="Times New Roman" w:cs="Times New Roman"/>
          <w:color w:val="000000"/>
          <w:lang w:val="uk-UA"/>
        </w:rPr>
        <w:t xml:space="preserve"> тис</w:t>
      </w:r>
      <w:r w:rsidR="00E01095"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w:t>
      </w:r>
      <w:r w:rsidR="00E723BF" w:rsidRPr="00AF7BE6">
        <w:rPr>
          <w:rFonts w:ascii="Times New Roman" w:eastAsia="Times New Roman" w:hAnsi="Times New Roman" w:cs="Times New Roman"/>
          <w:color w:val="000000"/>
          <w:lang w:val="uk-UA"/>
        </w:rPr>
        <w:t>грн.</w:t>
      </w:r>
      <w:r w:rsidRPr="00AF7BE6">
        <w:rPr>
          <w:rFonts w:ascii="Times New Roman" w:eastAsia="Times New Roman" w:hAnsi="Times New Roman" w:cs="Times New Roman"/>
          <w:color w:val="000000"/>
          <w:lang w:val="uk-UA"/>
        </w:rPr>
        <w:t xml:space="preserve"> станом на 31.12.20</w:t>
      </w:r>
      <w:r w:rsidR="00EA26C7"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у т. ч. нематеріальні активи за залишковою </w:t>
      </w:r>
      <w:r w:rsidRPr="00AF7BE6">
        <w:rPr>
          <w:rFonts w:ascii="Times New Roman" w:eastAsia="Times New Roman" w:hAnsi="Times New Roman" w:cs="Times New Roman"/>
          <w:color w:val="000000"/>
          <w:lang w:val="uk-UA"/>
        </w:rPr>
        <w:lastRenderedPageBreak/>
        <w:t>вартіс</w:t>
      </w:r>
      <w:r w:rsidR="00A734D0" w:rsidRPr="00AF7BE6">
        <w:rPr>
          <w:rFonts w:ascii="Times New Roman" w:eastAsia="Times New Roman" w:hAnsi="Times New Roman" w:cs="Times New Roman"/>
          <w:color w:val="000000"/>
          <w:lang w:val="uk-UA"/>
        </w:rPr>
        <w:t xml:space="preserve">тю станом </w:t>
      </w:r>
      <w:r w:rsidR="006826BF" w:rsidRPr="00AF7BE6">
        <w:rPr>
          <w:rFonts w:ascii="Times New Roman" w:eastAsia="Times New Roman" w:hAnsi="Times New Roman" w:cs="Times New Roman"/>
          <w:color w:val="000000"/>
          <w:lang w:val="uk-UA"/>
        </w:rPr>
        <w:t>на 31.12 20</w:t>
      </w:r>
      <w:r w:rsidR="00EA26C7" w:rsidRPr="00AF7BE6">
        <w:rPr>
          <w:rFonts w:ascii="Times New Roman" w:eastAsia="Times New Roman" w:hAnsi="Times New Roman" w:cs="Times New Roman"/>
          <w:color w:val="000000"/>
          <w:lang w:val="uk-UA"/>
        </w:rPr>
        <w:t xml:space="preserve">20 </w:t>
      </w:r>
      <w:r w:rsidR="006826BF" w:rsidRPr="00AF7BE6">
        <w:rPr>
          <w:rFonts w:ascii="Times New Roman" w:eastAsia="Times New Roman" w:hAnsi="Times New Roman" w:cs="Times New Roman"/>
          <w:color w:val="000000"/>
          <w:lang w:val="uk-UA"/>
        </w:rPr>
        <w:t xml:space="preserve">року – </w:t>
      </w:r>
      <w:r w:rsidR="00E01095" w:rsidRPr="00AF7BE6">
        <w:rPr>
          <w:rFonts w:ascii="Times New Roman" w:eastAsia="Times New Roman" w:hAnsi="Times New Roman" w:cs="Times New Roman"/>
          <w:color w:val="000000"/>
          <w:lang w:val="uk-UA"/>
        </w:rPr>
        <w:t>9 069</w:t>
      </w:r>
      <w:r w:rsidR="000964E7" w:rsidRPr="00AF7BE6">
        <w:rPr>
          <w:rFonts w:ascii="Times New Roman" w:eastAsia="Times New Roman" w:hAnsi="Times New Roman" w:cs="Times New Roman"/>
          <w:color w:val="000000"/>
          <w:lang w:val="uk-UA"/>
        </w:rPr>
        <w:t xml:space="preserve"> </w:t>
      </w:r>
      <w:r w:rsidR="006826BF" w:rsidRPr="00AF7BE6">
        <w:rPr>
          <w:rFonts w:ascii="Times New Roman" w:eastAsia="Times New Roman" w:hAnsi="Times New Roman" w:cs="Times New Roman"/>
          <w:color w:val="000000"/>
          <w:lang w:val="uk-UA"/>
        </w:rPr>
        <w:t>тис</w:t>
      </w:r>
      <w:r w:rsidR="00E01095" w:rsidRPr="00AF7BE6">
        <w:rPr>
          <w:rFonts w:ascii="Times New Roman" w:eastAsia="Times New Roman" w:hAnsi="Times New Roman" w:cs="Times New Roman"/>
          <w:color w:val="000000"/>
          <w:lang w:val="uk-UA"/>
        </w:rPr>
        <w:t>.</w:t>
      </w:r>
      <w:r w:rsidR="006826BF" w:rsidRPr="00AF7BE6">
        <w:rPr>
          <w:rFonts w:ascii="Times New Roman" w:eastAsia="Times New Roman" w:hAnsi="Times New Roman" w:cs="Times New Roman"/>
          <w:color w:val="000000"/>
          <w:lang w:val="uk-UA"/>
        </w:rPr>
        <w:t xml:space="preserve"> </w:t>
      </w:r>
      <w:r w:rsidR="000115DE" w:rsidRPr="00AF7BE6">
        <w:rPr>
          <w:rFonts w:ascii="Times New Roman" w:eastAsia="Times New Roman" w:hAnsi="Times New Roman" w:cs="Times New Roman"/>
          <w:color w:val="000000"/>
          <w:lang w:val="uk-UA"/>
        </w:rPr>
        <w:t>грн.</w:t>
      </w:r>
      <w:r w:rsidRPr="00AF7BE6">
        <w:rPr>
          <w:rFonts w:ascii="Times New Roman" w:eastAsia="Times New Roman" w:hAnsi="Times New Roman" w:cs="Times New Roman"/>
          <w:color w:val="000000"/>
          <w:lang w:val="uk-UA"/>
        </w:rPr>
        <w:t>, основні засоби за залишко</w:t>
      </w:r>
      <w:r w:rsidR="00EA26C7" w:rsidRPr="00AF7BE6">
        <w:rPr>
          <w:rFonts w:ascii="Times New Roman" w:eastAsia="Times New Roman" w:hAnsi="Times New Roman" w:cs="Times New Roman"/>
          <w:color w:val="000000"/>
          <w:lang w:val="uk-UA"/>
        </w:rPr>
        <w:t>вою вартістю станом на 31.12.2020</w:t>
      </w:r>
      <w:r w:rsidRPr="00AF7BE6">
        <w:rPr>
          <w:rFonts w:ascii="Times New Roman" w:eastAsia="Times New Roman" w:hAnsi="Times New Roman" w:cs="Times New Roman"/>
          <w:color w:val="000000"/>
          <w:lang w:val="uk-UA"/>
        </w:rPr>
        <w:t xml:space="preserve"> року – </w:t>
      </w:r>
      <w:r w:rsidR="00E01095" w:rsidRPr="00AF7BE6">
        <w:rPr>
          <w:rFonts w:ascii="Times New Roman" w:eastAsia="Times New Roman" w:hAnsi="Times New Roman" w:cs="Times New Roman"/>
          <w:color w:val="000000"/>
          <w:lang w:val="uk-UA"/>
        </w:rPr>
        <w:t>23 438</w:t>
      </w:r>
      <w:r w:rsidR="008447F2" w:rsidRPr="00AF7BE6">
        <w:rPr>
          <w:rFonts w:ascii="Times New Roman" w:eastAsia="Times New Roman" w:hAnsi="Times New Roman" w:cs="Times New Roman"/>
          <w:color w:val="000000"/>
          <w:lang w:val="uk-UA"/>
        </w:rPr>
        <w:t xml:space="preserve"> </w:t>
      </w:r>
      <w:r w:rsidR="00043EBD" w:rsidRPr="00AF7BE6">
        <w:rPr>
          <w:rFonts w:ascii="Times New Roman" w:eastAsia="Times New Roman" w:hAnsi="Times New Roman" w:cs="Times New Roman"/>
          <w:color w:val="000000"/>
          <w:lang w:val="uk-UA"/>
        </w:rPr>
        <w:t xml:space="preserve"> тис грн</w:t>
      </w:r>
      <w:r w:rsidRPr="00AF7BE6">
        <w:rPr>
          <w:rFonts w:ascii="Times New Roman" w:eastAsia="Times New Roman" w:hAnsi="Times New Roman" w:cs="Times New Roman"/>
          <w:color w:val="000000"/>
          <w:lang w:val="uk-UA"/>
        </w:rPr>
        <w:t>.</w:t>
      </w:r>
    </w:p>
    <w:p w14:paraId="55E94BCD" w14:textId="2913621D" w:rsidR="006826BF" w:rsidRPr="00AF7BE6" w:rsidRDefault="00E01095" w:rsidP="00E01095">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Інвестиційна нерухомість за залишковою вартістю</w:t>
      </w:r>
      <w:r w:rsidR="006826BF" w:rsidRPr="00AF7BE6">
        <w:rPr>
          <w:rFonts w:ascii="Times New Roman" w:eastAsia="Times New Roman" w:hAnsi="Times New Roman" w:cs="Times New Roman"/>
          <w:color w:val="000000"/>
          <w:lang w:val="uk-UA"/>
        </w:rPr>
        <w:t xml:space="preserve"> станом на 31.12.20</w:t>
      </w:r>
      <w:r w:rsidR="00EA26C7" w:rsidRPr="00AF7BE6">
        <w:rPr>
          <w:rFonts w:ascii="Times New Roman" w:eastAsia="Times New Roman" w:hAnsi="Times New Roman" w:cs="Times New Roman"/>
          <w:color w:val="000000"/>
          <w:lang w:val="uk-UA"/>
        </w:rPr>
        <w:t>20</w:t>
      </w:r>
      <w:r w:rsidR="006826BF" w:rsidRPr="00AF7BE6">
        <w:rPr>
          <w:rFonts w:ascii="Times New Roman" w:eastAsia="Times New Roman" w:hAnsi="Times New Roman" w:cs="Times New Roman"/>
          <w:color w:val="000000"/>
          <w:lang w:val="uk-UA"/>
        </w:rPr>
        <w:t xml:space="preserve"> року станов</w:t>
      </w:r>
      <w:r w:rsidRPr="00AF7BE6">
        <w:rPr>
          <w:rFonts w:ascii="Times New Roman" w:eastAsia="Times New Roman" w:hAnsi="Times New Roman" w:cs="Times New Roman"/>
          <w:color w:val="000000"/>
          <w:lang w:val="uk-UA"/>
        </w:rPr>
        <w:t>ить</w:t>
      </w:r>
      <w:r w:rsidR="006826BF" w:rsidRPr="00AF7BE6">
        <w:rPr>
          <w:rFonts w:ascii="Times New Roman" w:eastAsia="Times New Roman" w:hAnsi="Times New Roman" w:cs="Times New Roman"/>
          <w:color w:val="000000"/>
          <w:lang w:val="uk-UA"/>
        </w:rPr>
        <w:t xml:space="preserve"> – </w:t>
      </w:r>
      <w:r w:rsidRPr="00AF7BE6">
        <w:rPr>
          <w:rFonts w:ascii="Times New Roman" w:eastAsia="Times New Roman" w:hAnsi="Times New Roman" w:cs="Times New Roman"/>
          <w:color w:val="000000"/>
          <w:lang w:val="uk-UA"/>
        </w:rPr>
        <w:t>46</w:t>
      </w:r>
      <w:r w:rsidR="006826BF" w:rsidRPr="00AF7BE6">
        <w:rPr>
          <w:rFonts w:ascii="Times New Roman" w:eastAsia="Times New Roman" w:hAnsi="Times New Roman" w:cs="Times New Roman"/>
          <w:color w:val="000000"/>
          <w:lang w:val="uk-UA"/>
        </w:rPr>
        <w:t xml:space="preserve"> тис</w:t>
      </w:r>
      <w:r w:rsidRPr="00AF7BE6">
        <w:rPr>
          <w:rFonts w:ascii="Times New Roman" w:eastAsia="Times New Roman" w:hAnsi="Times New Roman" w:cs="Times New Roman"/>
          <w:color w:val="000000"/>
          <w:lang w:val="uk-UA"/>
        </w:rPr>
        <w:t>.</w:t>
      </w:r>
      <w:r w:rsidR="006826BF" w:rsidRPr="00AF7BE6">
        <w:rPr>
          <w:rFonts w:ascii="Times New Roman" w:eastAsia="Times New Roman" w:hAnsi="Times New Roman" w:cs="Times New Roman"/>
          <w:color w:val="000000"/>
          <w:lang w:val="uk-UA"/>
        </w:rPr>
        <w:t xml:space="preserve"> грн.</w:t>
      </w:r>
    </w:p>
    <w:p w14:paraId="67A7B598" w14:textId="47AD8A4C" w:rsidR="00E01095" w:rsidRPr="00AF7BE6" w:rsidRDefault="00E01095" w:rsidP="00E01095">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Відстрочені податкові активи станом на 31.12.2020 року станов</w:t>
      </w:r>
      <w:r w:rsidR="00BF6D6B" w:rsidRPr="00AF7BE6">
        <w:rPr>
          <w:rFonts w:ascii="Times New Roman" w:eastAsia="Times New Roman" w:hAnsi="Times New Roman" w:cs="Times New Roman"/>
          <w:color w:val="000000"/>
          <w:lang w:val="uk-UA"/>
        </w:rPr>
        <w:t>ля</w:t>
      </w:r>
      <w:r w:rsidRPr="00AF7BE6">
        <w:rPr>
          <w:rFonts w:ascii="Times New Roman" w:eastAsia="Times New Roman" w:hAnsi="Times New Roman" w:cs="Times New Roman"/>
          <w:color w:val="000000"/>
          <w:lang w:val="uk-UA"/>
        </w:rPr>
        <w:t>ть - 3 478 тис. грн.</w:t>
      </w:r>
    </w:p>
    <w:p w14:paraId="15ED49B4" w14:textId="4C3469F1" w:rsidR="008F1320" w:rsidRPr="00AF7BE6" w:rsidRDefault="008F1320" w:rsidP="005434AF">
      <w:pPr>
        <w:suppressAutoHyphens/>
        <w:spacing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Балансова вартість необоротних активів </w:t>
      </w:r>
      <w:r w:rsidR="008355C0" w:rsidRPr="00AF7BE6">
        <w:rPr>
          <w:rFonts w:ascii="Times New Roman" w:hAnsi="Times New Roman" w:cs="Times New Roman"/>
          <w:lang w:val="uk-UA"/>
        </w:rPr>
        <w:t>Акціонерного товариства «Кременчуцьке кар’єроуправління «Кварц»</w:t>
      </w:r>
      <w:r w:rsidR="000964E7"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станом на 31 грудня 20</w:t>
      </w:r>
      <w:r w:rsidR="00EA26C7"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та 201</w:t>
      </w:r>
      <w:r w:rsidR="00EA26C7" w:rsidRPr="00AF7BE6">
        <w:rPr>
          <w:rFonts w:ascii="Times New Roman" w:eastAsia="Times New Roman" w:hAnsi="Times New Roman" w:cs="Times New Roman"/>
          <w:color w:val="000000"/>
          <w:lang w:val="uk-UA"/>
        </w:rPr>
        <w:t>9</w:t>
      </w:r>
      <w:r w:rsidRPr="00AF7BE6">
        <w:rPr>
          <w:rFonts w:ascii="Times New Roman" w:eastAsia="Times New Roman" w:hAnsi="Times New Roman" w:cs="Times New Roman"/>
          <w:color w:val="000000"/>
          <w:lang w:val="uk-UA"/>
        </w:rPr>
        <w:t xml:space="preserve"> років:</w:t>
      </w:r>
    </w:p>
    <w:tbl>
      <w:tblPr>
        <w:tblStyle w:val="a6"/>
        <w:tblW w:w="0" w:type="auto"/>
        <w:tblLook w:val="04A0" w:firstRow="1" w:lastRow="0" w:firstColumn="1" w:lastColumn="0" w:noHBand="0" w:noVBand="1"/>
      </w:tblPr>
      <w:tblGrid>
        <w:gridCol w:w="4644"/>
        <w:gridCol w:w="1985"/>
        <w:gridCol w:w="2126"/>
        <w:gridCol w:w="1843"/>
      </w:tblGrid>
      <w:tr w:rsidR="008F1320" w:rsidRPr="00AF7BE6" w14:paraId="284E171E" w14:textId="77777777" w:rsidTr="0056170E">
        <w:tc>
          <w:tcPr>
            <w:tcW w:w="4644" w:type="dxa"/>
          </w:tcPr>
          <w:p w14:paraId="4B3148A5" w14:textId="77777777" w:rsidR="008F1320" w:rsidRPr="00AF7BE6" w:rsidRDefault="008F1320"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Необоротні активи</w:t>
            </w:r>
          </w:p>
        </w:tc>
        <w:tc>
          <w:tcPr>
            <w:tcW w:w="1985" w:type="dxa"/>
          </w:tcPr>
          <w:p w14:paraId="3CBCBC01" w14:textId="77777777" w:rsidR="008F1320" w:rsidRPr="00AF7BE6" w:rsidRDefault="008F1320" w:rsidP="00EA26C7">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 201</w:t>
            </w:r>
            <w:r w:rsidR="00EA26C7" w:rsidRPr="00AF7BE6">
              <w:rPr>
                <w:rFonts w:ascii="Times New Roman" w:eastAsia="Times New Roman" w:hAnsi="Times New Roman" w:cs="Times New Roman"/>
                <w:b/>
                <w:color w:val="000000"/>
              </w:rPr>
              <w:t>9</w:t>
            </w:r>
            <w:r w:rsidRPr="00AF7BE6">
              <w:rPr>
                <w:rFonts w:ascii="Times New Roman" w:eastAsia="Times New Roman" w:hAnsi="Times New Roman" w:cs="Times New Roman"/>
                <w:b/>
                <w:color w:val="000000"/>
              </w:rPr>
              <w:t xml:space="preserve"> р.</w:t>
            </w:r>
          </w:p>
        </w:tc>
        <w:tc>
          <w:tcPr>
            <w:tcW w:w="2126" w:type="dxa"/>
          </w:tcPr>
          <w:p w14:paraId="2F8558F1" w14:textId="77777777" w:rsidR="008F1320" w:rsidRPr="00AF7BE6" w:rsidRDefault="008F1320" w:rsidP="00EA26C7">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31.12.20</w:t>
            </w:r>
            <w:r w:rsidR="00EA26C7" w:rsidRPr="00AF7BE6">
              <w:rPr>
                <w:rFonts w:ascii="Times New Roman" w:eastAsia="Times New Roman" w:hAnsi="Times New Roman" w:cs="Times New Roman"/>
                <w:b/>
                <w:color w:val="000000"/>
              </w:rPr>
              <w:t>20</w:t>
            </w:r>
            <w:r w:rsidRPr="00AF7BE6">
              <w:rPr>
                <w:rFonts w:ascii="Times New Roman" w:eastAsia="Times New Roman" w:hAnsi="Times New Roman" w:cs="Times New Roman"/>
                <w:b/>
                <w:color w:val="000000"/>
              </w:rPr>
              <w:t xml:space="preserve"> р.</w:t>
            </w:r>
          </w:p>
        </w:tc>
        <w:tc>
          <w:tcPr>
            <w:tcW w:w="1843" w:type="dxa"/>
          </w:tcPr>
          <w:p w14:paraId="29B1E294" w14:textId="77777777" w:rsidR="008F1320" w:rsidRPr="00AF7BE6" w:rsidRDefault="008F1320"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Зміни(+,-)</w:t>
            </w:r>
          </w:p>
        </w:tc>
      </w:tr>
      <w:tr w:rsidR="008F1320" w:rsidRPr="00AF7BE6" w14:paraId="28CC4E9A" w14:textId="77777777" w:rsidTr="0056170E">
        <w:tc>
          <w:tcPr>
            <w:tcW w:w="4644" w:type="dxa"/>
          </w:tcPr>
          <w:p w14:paraId="56D99B16" w14:textId="77777777" w:rsidR="008F1320" w:rsidRPr="00AF7BE6" w:rsidRDefault="008F1320"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Нематеріальні активи(тис грн)</w:t>
            </w:r>
          </w:p>
        </w:tc>
        <w:tc>
          <w:tcPr>
            <w:tcW w:w="1985" w:type="dxa"/>
            <w:vAlign w:val="center"/>
          </w:tcPr>
          <w:p w14:paraId="751F75E1" w14:textId="3BF860B0" w:rsidR="008F1320"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9 612</w:t>
            </w:r>
          </w:p>
        </w:tc>
        <w:tc>
          <w:tcPr>
            <w:tcW w:w="2126" w:type="dxa"/>
            <w:vAlign w:val="center"/>
          </w:tcPr>
          <w:p w14:paraId="52FA1F3D" w14:textId="18BDD9C2" w:rsidR="008F1320"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9 069</w:t>
            </w:r>
          </w:p>
        </w:tc>
        <w:tc>
          <w:tcPr>
            <w:tcW w:w="1843" w:type="dxa"/>
            <w:vAlign w:val="center"/>
          </w:tcPr>
          <w:p w14:paraId="608D5394" w14:textId="248BE3E7" w:rsidR="008F1320" w:rsidRPr="00AF7BE6" w:rsidRDefault="000964E7"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D90DD5" w:rsidRPr="00AF7BE6">
              <w:rPr>
                <w:rFonts w:ascii="Times New Roman" w:eastAsia="Times New Roman" w:hAnsi="Times New Roman" w:cs="Times New Roman"/>
                <w:color w:val="000000"/>
              </w:rPr>
              <w:t>543</w:t>
            </w:r>
          </w:p>
        </w:tc>
      </w:tr>
      <w:tr w:rsidR="008F1320" w:rsidRPr="00AF7BE6" w14:paraId="5F88878D" w14:textId="77777777" w:rsidTr="0056170E">
        <w:tc>
          <w:tcPr>
            <w:tcW w:w="4644" w:type="dxa"/>
          </w:tcPr>
          <w:p w14:paraId="40F02AC2" w14:textId="77777777" w:rsidR="008F1320" w:rsidRPr="00AF7BE6" w:rsidRDefault="008F1320"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Основні засоби(тис грн)</w:t>
            </w:r>
          </w:p>
        </w:tc>
        <w:tc>
          <w:tcPr>
            <w:tcW w:w="1985" w:type="dxa"/>
            <w:vAlign w:val="center"/>
          </w:tcPr>
          <w:p w14:paraId="58A532E3" w14:textId="1ABF6329" w:rsidR="008F1320"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23 866</w:t>
            </w:r>
          </w:p>
        </w:tc>
        <w:tc>
          <w:tcPr>
            <w:tcW w:w="2126" w:type="dxa"/>
            <w:vAlign w:val="center"/>
          </w:tcPr>
          <w:p w14:paraId="549E0335" w14:textId="04BE547C" w:rsidR="008F1320"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23 438</w:t>
            </w:r>
          </w:p>
        </w:tc>
        <w:tc>
          <w:tcPr>
            <w:tcW w:w="1843" w:type="dxa"/>
            <w:vAlign w:val="center"/>
          </w:tcPr>
          <w:p w14:paraId="4CEDF2CD" w14:textId="7B9FD41E" w:rsidR="008F1320" w:rsidRPr="00AF7BE6" w:rsidRDefault="000964E7"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D90DD5" w:rsidRPr="00AF7BE6">
              <w:rPr>
                <w:rFonts w:ascii="Times New Roman" w:eastAsia="Times New Roman" w:hAnsi="Times New Roman" w:cs="Times New Roman"/>
                <w:color w:val="000000"/>
              </w:rPr>
              <w:t>428</w:t>
            </w:r>
          </w:p>
        </w:tc>
      </w:tr>
      <w:tr w:rsidR="00C34E62" w:rsidRPr="00AF7BE6" w14:paraId="444CFF1C" w14:textId="77777777" w:rsidTr="0056170E">
        <w:tc>
          <w:tcPr>
            <w:tcW w:w="4644" w:type="dxa"/>
          </w:tcPr>
          <w:p w14:paraId="13C50757" w14:textId="3C44FD38" w:rsidR="00C34E62" w:rsidRPr="00AF7BE6" w:rsidRDefault="00BF6D6B"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 xml:space="preserve">Інвестиційна нерухомість </w:t>
            </w:r>
            <w:r w:rsidR="00C34E62" w:rsidRPr="00AF7BE6">
              <w:rPr>
                <w:rFonts w:ascii="Times New Roman" w:eastAsia="Times New Roman" w:hAnsi="Times New Roman" w:cs="Times New Roman"/>
                <w:color w:val="000000"/>
              </w:rPr>
              <w:t>(тис</w:t>
            </w:r>
            <w:r w:rsidRPr="00AF7BE6">
              <w:rPr>
                <w:rFonts w:ascii="Times New Roman" w:eastAsia="Times New Roman" w:hAnsi="Times New Roman" w:cs="Times New Roman"/>
                <w:color w:val="000000"/>
              </w:rPr>
              <w:t>.</w:t>
            </w:r>
            <w:r w:rsidR="00C34E62" w:rsidRPr="00AF7BE6">
              <w:rPr>
                <w:rFonts w:ascii="Times New Roman" w:eastAsia="Times New Roman" w:hAnsi="Times New Roman" w:cs="Times New Roman"/>
                <w:color w:val="000000"/>
              </w:rPr>
              <w:t xml:space="preserve"> грн</w:t>
            </w:r>
            <w:r w:rsidRPr="00AF7BE6">
              <w:rPr>
                <w:rFonts w:ascii="Times New Roman" w:eastAsia="Times New Roman" w:hAnsi="Times New Roman" w:cs="Times New Roman"/>
                <w:color w:val="000000"/>
              </w:rPr>
              <w:t>.</w:t>
            </w:r>
            <w:r w:rsidR="00C34E62" w:rsidRPr="00AF7BE6">
              <w:rPr>
                <w:rFonts w:ascii="Times New Roman" w:eastAsia="Times New Roman" w:hAnsi="Times New Roman" w:cs="Times New Roman"/>
                <w:color w:val="000000"/>
              </w:rPr>
              <w:t>)</w:t>
            </w:r>
          </w:p>
        </w:tc>
        <w:tc>
          <w:tcPr>
            <w:tcW w:w="1985" w:type="dxa"/>
            <w:vAlign w:val="center"/>
          </w:tcPr>
          <w:p w14:paraId="08B7434A" w14:textId="67C8E335" w:rsidR="00C34E62"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47</w:t>
            </w:r>
          </w:p>
        </w:tc>
        <w:tc>
          <w:tcPr>
            <w:tcW w:w="2126" w:type="dxa"/>
            <w:vAlign w:val="center"/>
          </w:tcPr>
          <w:p w14:paraId="799D2793" w14:textId="62C5F9E0" w:rsidR="00C34E62"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46</w:t>
            </w:r>
          </w:p>
        </w:tc>
        <w:tc>
          <w:tcPr>
            <w:tcW w:w="1843" w:type="dxa"/>
            <w:vAlign w:val="center"/>
          </w:tcPr>
          <w:p w14:paraId="1D042D5D" w14:textId="3C7006BB" w:rsidR="00C34E62" w:rsidRPr="00AF7BE6" w:rsidRDefault="000964E7"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BF6D6B" w:rsidRPr="00AF7BE6">
              <w:rPr>
                <w:rFonts w:ascii="Times New Roman" w:eastAsia="Times New Roman" w:hAnsi="Times New Roman" w:cs="Times New Roman"/>
                <w:color w:val="000000"/>
              </w:rPr>
              <w:t>1</w:t>
            </w:r>
          </w:p>
        </w:tc>
      </w:tr>
      <w:tr w:rsidR="00471736" w:rsidRPr="00AF7BE6" w14:paraId="599AA17A" w14:textId="77777777" w:rsidTr="0056170E">
        <w:trPr>
          <w:trHeight w:val="287"/>
        </w:trPr>
        <w:tc>
          <w:tcPr>
            <w:tcW w:w="4644" w:type="dxa"/>
          </w:tcPr>
          <w:p w14:paraId="58E3A319" w14:textId="69B8F1A7" w:rsidR="00471736" w:rsidRPr="00AF7BE6" w:rsidRDefault="00BF6D6B"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 xml:space="preserve">Відстрочені податкові активи </w:t>
            </w:r>
            <w:r w:rsidR="008447F2" w:rsidRPr="00AF7BE6">
              <w:rPr>
                <w:rFonts w:ascii="Times New Roman" w:eastAsia="Times New Roman" w:hAnsi="Times New Roman" w:cs="Times New Roman"/>
                <w:color w:val="000000"/>
              </w:rPr>
              <w:t>(</w:t>
            </w:r>
            <w:r w:rsidR="00471736" w:rsidRPr="00AF7BE6">
              <w:rPr>
                <w:rFonts w:ascii="Times New Roman" w:eastAsia="Times New Roman" w:hAnsi="Times New Roman" w:cs="Times New Roman"/>
                <w:color w:val="000000"/>
              </w:rPr>
              <w:t>тис</w:t>
            </w:r>
            <w:r w:rsidRPr="00AF7BE6">
              <w:rPr>
                <w:rFonts w:ascii="Times New Roman" w:eastAsia="Times New Roman" w:hAnsi="Times New Roman" w:cs="Times New Roman"/>
                <w:color w:val="000000"/>
              </w:rPr>
              <w:t>.</w:t>
            </w:r>
            <w:r w:rsidR="00471736" w:rsidRPr="00AF7BE6">
              <w:rPr>
                <w:rFonts w:ascii="Times New Roman" w:eastAsia="Times New Roman" w:hAnsi="Times New Roman" w:cs="Times New Roman"/>
                <w:color w:val="000000"/>
              </w:rPr>
              <w:t xml:space="preserve"> грн</w:t>
            </w:r>
            <w:r w:rsidRPr="00AF7BE6">
              <w:rPr>
                <w:rFonts w:ascii="Times New Roman" w:eastAsia="Times New Roman" w:hAnsi="Times New Roman" w:cs="Times New Roman"/>
                <w:color w:val="000000"/>
              </w:rPr>
              <w:t>.</w:t>
            </w:r>
            <w:r w:rsidR="00471736" w:rsidRPr="00AF7BE6">
              <w:rPr>
                <w:rFonts w:ascii="Times New Roman" w:eastAsia="Times New Roman" w:hAnsi="Times New Roman" w:cs="Times New Roman"/>
                <w:color w:val="000000"/>
              </w:rPr>
              <w:t>)</w:t>
            </w:r>
          </w:p>
        </w:tc>
        <w:tc>
          <w:tcPr>
            <w:tcW w:w="1985" w:type="dxa"/>
            <w:vAlign w:val="center"/>
          </w:tcPr>
          <w:p w14:paraId="2FF4CC53" w14:textId="3B8ED648" w:rsidR="00471736"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3 022</w:t>
            </w:r>
          </w:p>
        </w:tc>
        <w:tc>
          <w:tcPr>
            <w:tcW w:w="2126" w:type="dxa"/>
            <w:vAlign w:val="center"/>
          </w:tcPr>
          <w:p w14:paraId="5D4F689D" w14:textId="128ED4AB" w:rsidR="00471736"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3 478</w:t>
            </w:r>
          </w:p>
        </w:tc>
        <w:tc>
          <w:tcPr>
            <w:tcW w:w="1843" w:type="dxa"/>
            <w:vAlign w:val="center"/>
          </w:tcPr>
          <w:p w14:paraId="4A6D2E6B" w14:textId="3C06674E" w:rsidR="00471736" w:rsidRPr="00AF7BE6" w:rsidRDefault="00BF6D6B" w:rsidP="006826B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D90DD5" w:rsidRPr="00AF7BE6">
              <w:rPr>
                <w:rFonts w:ascii="Times New Roman" w:eastAsia="Times New Roman" w:hAnsi="Times New Roman" w:cs="Times New Roman"/>
                <w:color w:val="000000"/>
              </w:rPr>
              <w:t>456</w:t>
            </w:r>
          </w:p>
        </w:tc>
      </w:tr>
      <w:tr w:rsidR="001A5F10" w:rsidRPr="00AF7BE6" w14:paraId="7211918C" w14:textId="77777777" w:rsidTr="0056170E">
        <w:trPr>
          <w:trHeight w:val="287"/>
        </w:trPr>
        <w:tc>
          <w:tcPr>
            <w:tcW w:w="4644" w:type="dxa"/>
          </w:tcPr>
          <w:p w14:paraId="1C31A0A9" w14:textId="77777777" w:rsidR="001A5F10" w:rsidRPr="00AF7BE6" w:rsidRDefault="001A5F10"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b/>
                <w:color w:val="000000"/>
              </w:rPr>
              <w:t>Разом</w:t>
            </w:r>
          </w:p>
        </w:tc>
        <w:tc>
          <w:tcPr>
            <w:tcW w:w="1985" w:type="dxa"/>
            <w:vAlign w:val="center"/>
          </w:tcPr>
          <w:p w14:paraId="36ED36FB" w14:textId="41D22485" w:rsidR="001A5F10" w:rsidRPr="00AF7BE6" w:rsidRDefault="00BF6D6B" w:rsidP="001A5F10">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36 547</w:t>
            </w:r>
          </w:p>
        </w:tc>
        <w:tc>
          <w:tcPr>
            <w:tcW w:w="2126" w:type="dxa"/>
            <w:vAlign w:val="center"/>
          </w:tcPr>
          <w:p w14:paraId="45630EE1" w14:textId="1DED021E" w:rsidR="001A5F10" w:rsidRPr="00AF7BE6" w:rsidRDefault="00BF6D6B" w:rsidP="001A5F10">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36 031</w:t>
            </w:r>
          </w:p>
        </w:tc>
        <w:tc>
          <w:tcPr>
            <w:tcW w:w="1843" w:type="dxa"/>
            <w:vAlign w:val="center"/>
          </w:tcPr>
          <w:p w14:paraId="043EA376" w14:textId="218A08D9" w:rsidR="001A5F10" w:rsidRPr="00AF7BE6" w:rsidRDefault="001378AC" w:rsidP="006826B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w:t>
            </w:r>
            <w:r w:rsidR="00D90DD5" w:rsidRPr="00AF7BE6">
              <w:rPr>
                <w:rFonts w:ascii="Times New Roman" w:eastAsia="Times New Roman" w:hAnsi="Times New Roman" w:cs="Times New Roman"/>
                <w:b/>
                <w:color w:val="000000"/>
              </w:rPr>
              <w:t>516</w:t>
            </w:r>
          </w:p>
        </w:tc>
      </w:tr>
    </w:tbl>
    <w:p w14:paraId="2709A418" w14:textId="77777777" w:rsidR="00027B0A" w:rsidRPr="00AF7BE6" w:rsidRDefault="00027B0A" w:rsidP="00D63BBD">
      <w:pPr>
        <w:spacing w:before="24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щодо обліку запасів</w:t>
      </w:r>
    </w:p>
    <w:p w14:paraId="37E8E67D" w14:textId="37672DBB" w:rsidR="00027B0A" w:rsidRPr="00AF7BE6" w:rsidRDefault="00027B0A" w:rsidP="00027B0A">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 даних запасів Товариства станом на 31.12.2020 р. свідчить, що облік запасів, ведеться згідно обраній концептуальній основі, а саме: </w:t>
      </w:r>
      <w:r w:rsidR="001B3A50" w:rsidRPr="00AF7BE6">
        <w:rPr>
          <w:rFonts w:ascii="Times New Roman" w:eastAsia="Times New Roman" w:hAnsi="Times New Roman" w:cs="Times New Roman"/>
          <w:color w:val="000000"/>
          <w:lang w:val="uk-UA"/>
        </w:rPr>
        <w:t>МСФЗ</w:t>
      </w:r>
      <w:r w:rsidRPr="00AF7BE6">
        <w:rPr>
          <w:rFonts w:ascii="Times New Roman" w:eastAsia="Times New Roman" w:hAnsi="Times New Roman" w:cs="Times New Roman"/>
          <w:color w:val="000000"/>
          <w:lang w:val="uk-UA"/>
        </w:rPr>
        <w:t xml:space="preserve">. </w:t>
      </w:r>
    </w:p>
    <w:p w14:paraId="7CDF24F8" w14:textId="77777777" w:rsidR="00027B0A" w:rsidRPr="00AF7BE6" w:rsidRDefault="00027B0A" w:rsidP="00027B0A">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Проведена Товариством інвентаризація була проведена вірно згідно з "Положенням про інвентаризацію активів та зобов'язань" від 02.09.2014 року № 879 з наступними змінами та доповненнями. </w:t>
      </w:r>
    </w:p>
    <w:p w14:paraId="179A3CF3" w14:textId="39CC2F1C" w:rsidR="00027B0A" w:rsidRPr="00AF7BE6" w:rsidRDefault="00027B0A" w:rsidP="00027B0A">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Таким чином аудитор підтверджує, що станом на 31.12.2020 року запаси Товариства складають </w:t>
      </w:r>
      <w:r w:rsidR="00434758" w:rsidRPr="00AF7BE6">
        <w:rPr>
          <w:rFonts w:ascii="Times New Roman" w:eastAsia="Times New Roman" w:hAnsi="Times New Roman" w:cs="Times New Roman"/>
          <w:color w:val="000000"/>
          <w:lang w:val="uk-UA"/>
        </w:rPr>
        <w:t>19 914</w:t>
      </w:r>
      <w:r w:rsidRPr="00AF7BE6">
        <w:rPr>
          <w:rFonts w:ascii="Times New Roman" w:eastAsia="Times New Roman" w:hAnsi="Times New Roman" w:cs="Times New Roman"/>
          <w:color w:val="000000"/>
          <w:lang w:val="uk-UA"/>
        </w:rPr>
        <w:t xml:space="preserve"> тис</w:t>
      </w:r>
      <w:r w:rsidR="00434758"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грн</w:t>
      </w:r>
      <w:r w:rsidR="00434758"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у т.ч.: виробничі запаси  – </w:t>
      </w:r>
      <w:r w:rsidR="00434758" w:rsidRPr="00AF7BE6">
        <w:rPr>
          <w:rFonts w:ascii="Times New Roman" w:eastAsia="Times New Roman" w:hAnsi="Times New Roman" w:cs="Times New Roman"/>
          <w:color w:val="000000"/>
          <w:lang w:val="uk-UA"/>
        </w:rPr>
        <w:t>6 489</w:t>
      </w:r>
      <w:r w:rsidRPr="00AF7BE6">
        <w:rPr>
          <w:rFonts w:ascii="Times New Roman" w:eastAsia="Times New Roman" w:hAnsi="Times New Roman" w:cs="Times New Roman"/>
          <w:color w:val="000000"/>
          <w:lang w:val="uk-UA"/>
        </w:rPr>
        <w:t xml:space="preserve"> тис</w:t>
      </w:r>
      <w:r w:rsidR="00434758"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грн</w:t>
      </w:r>
      <w:r w:rsidR="00434758"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w:t>
      </w:r>
      <w:r w:rsidR="00434758" w:rsidRPr="00AF7BE6">
        <w:rPr>
          <w:rFonts w:ascii="Times New Roman" w:eastAsia="Times New Roman" w:hAnsi="Times New Roman" w:cs="Times New Roman"/>
          <w:color w:val="000000"/>
          <w:lang w:val="uk-UA"/>
        </w:rPr>
        <w:t>готова продукція - 13 408 тис. грн.</w:t>
      </w:r>
      <w:r w:rsidRPr="00AF7BE6">
        <w:rPr>
          <w:rFonts w:ascii="Times New Roman" w:eastAsia="Times New Roman" w:hAnsi="Times New Roman" w:cs="Times New Roman"/>
          <w:color w:val="000000"/>
          <w:lang w:val="uk-UA"/>
        </w:rPr>
        <w:t xml:space="preserve">, товари – </w:t>
      </w:r>
      <w:r w:rsidR="00434758" w:rsidRPr="00AF7BE6">
        <w:rPr>
          <w:rFonts w:ascii="Times New Roman" w:eastAsia="Times New Roman" w:hAnsi="Times New Roman" w:cs="Times New Roman"/>
          <w:color w:val="000000"/>
          <w:lang w:val="uk-UA"/>
        </w:rPr>
        <w:t>17</w:t>
      </w:r>
      <w:r w:rsidRPr="00AF7BE6">
        <w:rPr>
          <w:rFonts w:ascii="Times New Roman" w:eastAsia="Times New Roman" w:hAnsi="Times New Roman" w:cs="Times New Roman"/>
          <w:color w:val="000000"/>
          <w:lang w:val="uk-UA"/>
        </w:rPr>
        <w:t xml:space="preserve"> тис</w:t>
      </w:r>
      <w:r w:rsidR="00434758"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грн. Зауважень до обліку не виявлено.</w:t>
      </w:r>
    </w:p>
    <w:p w14:paraId="1320FDB0" w14:textId="1C3B5106" w:rsidR="00027B0A" w:rsidRPr="00AF7BE6" w:rsidRDefault="00027B0A" w:rsidP="00027B0A">
      <w:pPr>
        <w:spacing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Запаси </w:t>
      </w:r>
      <w:r w:rsidR="008355C0"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xml:space="preserve"> станом на 31 грудня 2020 та 2019 років представлені наступним чином: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1985"/>
        <w:gridCol w:w="1701"/>
      </w:tblGrid>
      <w:tr w:rsidR="00027B0A" w:rsidRPr="00AF7BE6" w14:paraId="493407AF" w14:textId="77777777" w:rsidTr="00AD4B93">
        <w:tc>
          <w:tcPr>
            <w:tcW w:w="4928" w:type="dxa"/>
            <w:shd w:val="clear" w:color="auto" w:fill="auto"/>
          </w:tcPr>
          <w:p w14:paraId="73B10062" w14:textId="77777777" w:rsidR="00027B0A" w:rsidRPr="00AF7BE6" w:rsidRDefault="00027B0A"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Запаси</w:t>
            </w:r>
          </w:p>
        </w:tc>
        <w:tc>
          <w:tcPr>
            <w:tcW w:w="1984" w:type="dxa"/>
            <w:shd w:val="clear" w:color="auto" w:fill="auto"/>
          </w:tcPr>
          <w:p w14:paraId="68689953" w14:textId="77777777" w:rsidR="00027B0A" w:rsidRPr="00AF7BE6" w:rsidRDefault="00027B0A"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На 31.12. 2019 р.</w:t>
            </w:r>
          </w:p>
        </w:tc>
        <w:tc>
          <w:tcPr>
            <w:tcW w:w="1985" w:type="dxa"/>
            <w:shd w:val="clear" w:color="auto" w:fill="auto"/>
          </w:tcPr>
          <w:p w14:paraId="0FCEEA62" w14:textId="77777777" w:rsidR="00027B0A" w:rsidRPr="00AF7BE6" w:rsidRDefault="00027B0A"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На 31.12.2020 р.</w:t>
            </w:r>
          </w:p>
        </w:tc>
        <w:tc>
          <w:tcPr>
            <w:tcW w:w="1701" w:type="dxa"/>
            <w:shd w:val="clear" w:color="auto" w:fill="auto"/>
          </w:tcPr>
          <w:p w14:paraId="1002744A" w14:textId="77777777" w:rsidR="00027B0A" w:rsidRPr="00AF7BE6" w:rsidRDefault="00027B0A"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Зміни(+,-)</w:t>
            </w:r>
          </w:p>
        </w:tc>
      </w:tr>
      <w:tr w:rsidR="00027B0A" w:rsidRPr="00AF7BE6" w14:paraId="294DF099" w14:textId="77777777" w:rsidTr="00AD4B93">
        <w:tc>
          <w:tcPr>
            <w:tcW w:w="4928" w:type="dxa"/>
            <w:shd w:val="clear" w:color="auto" w:fill="auto"/>
          </w:tcPr>
          <w:p w14:paraId="6C17A561" w14:textId="41E220F7" w:rsidR="00027B0A" w:rsidRPr="00AF7BE6" w:rsidRDefault="00027B0A" w:rsidP="00027B0A">
            <w:pPr>
              <w:spacing w:after="0" w:line="240" w:lineRule="auto"/>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Запаси (тис</w:t>
            </w:r>
            <w:r w:rsidR="00434758" w:rsidRPr="00AF7BE6">
              <w:rPr>
                <w:rFonts w:ascii="Times New Roman" w:eastAsia="Times New Roman" w:hAnsi="Times New Roman" w:cs="Times New Roman"/>
                <w:color w:val="000000"/>
                <w:lang w:val="uk-UA" w:eastAsia="en-US"/>
              </w:rPr>
              <w:t>.</w:t>
            </w:r>
            <w:r w:rsidRPr="00AF7BE6">
              <w:rPr>
                <w:rFonts w:ascii="Times New Roman" w:eastAsia="Times New Roman" w:hAnsi="Times New Roman" w:cs="Times New Roman"/>
                <w:color w:val="000000"/>
                <w:lang w:val="uk-UA" w:eastAsia="en-US"/>
              </w:rPr>
              <w:t xml:space="preserve"> грн</w:t>
            </w:r>
            <w:r w:rsidR="00434758" w:rsidRPr="00AF7BE6">
              <w:rPr>
                <w:rFonts w:ascii="Times New Roman" w:eastAsia="Times New Roman" w:hAnsi="Times New Roman" w:cs="Times New Roman"/>
                <w:color w:val="000000"/>
                <w:lang w:val="uk-UA" w:eastAsia="en-US"/>
              </w:rPr>
              <w:t>.</w:t>
            </w:r>
            <w:r w:rsidRPr="00AF7BE6">
              <w:rPr>
                <w:rFonts w:ascii="Times New Roman" w:eastAsia="Times New Roman" w:hAnsi="Times New Roman" w:cs="Times New Roman"/>
                <w:color w:val="000000"/>
                <w:lang w:val="uk-UA" w:eastAsia="en-US"/>
              </w:rPr>
              <w:t>), в т.ч.:</w:t>
            </w:r>
          </w:p>
        </w:tc>
        <w:tc>
          <w:tcPr>
            <w:tcW w:w="1984" w:type="dxa"/>
            <w:shd w:val="clear" w:color="auto" w:fill="auto"/>
            <w:vAlign w:val="center"/>
          </w:tcPr>
          <w:p w14:paraId="62306E27" w14:textId="7F9DC7C0" w:rsidR="00027B0A" w:rsidRPr="00AF7BE6" w:rsidRDefault="00027B0A"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18</w:t>
            </w:r>
            <w:r w:rsidR="00434758" w:rsidRPr="00AF7BE6">
              <w:rPr>
                <w:rFonts w:ascii="Times New Roman" w:eastAsia="Times New Roman" w:hAnsi="Times New Roman" w:cs="Times New Roman"/>
                <w:color w:val="000000"/>
                <w:lang w:val="uk-UA" w:eastAsia="en-US"/>
              </w:rPr>
              <w:t xml:space="preserve"> 362</w:t>
            </w:r>
          </w:p>
        </w:tc>
        <w:tc>
          <w:tcPr>
            <w:tcW w:w="1985" w:type="dxa"/>
            <w:shd w:val="clear" w:color="auto" w:fill="auto"/>
            <w:vAlign w:val="center"/>
          </w:tcPr>
          <w:p w14:paraId="76FEA801" w14:textId="7655174A" w:rsidR="00027B0A" w:rsidRPr="00AF7BE6" w:rsidRDefault="00434758"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19 914</w:t>
            </w:r>
          </w:p>
        </w:tc>
        <w:tc>
          <w:tcPr>
            <w:tcW w:w="1701" w:type="dxa"/>
            <w:shd w:val="clear" w:color="auto" w:fill="auto"/>
            <w:vAlign w:val="center"/>
          </w:tcPr>
          <w:p w14:paraId="22802667" w14:textId="38913F16" w:rsidR="00027B0A" w:rsidRPr="00AF7BE6" w:rsidRDefault="00027B0A"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w:t>
            </w:r>
            <w:r w:rsidR="00434758" w:rsidRPr="00AF7BE6">
              <w:rPr>
                <w:rFonts w:ascii="Times New Roman" w:eastAsia="Times New Roman" w:hAnsi="Times New Roman" w:cs="Times New Roman"/>
                <w:color w:val="000000"/>
                <w:lang w:val="uk-UA" w:eastAsia="en-US"/>
              </w:rPr>
              <w:t>1 552</w:t>
            </w:r>
          </w:p>
        </w:tc>
      </w:tr>
      <w:tr w:rsidR="00027B0A" w:rsidRPr="00AF7BE6" w14:paraId="16791963" w14:textId="77777777" w:rsidTr="00AD4B93">
        <w:tc>
          <w:tcPr>
            <w:tcW w:w="4928" w:type="dxa"/>
            <w:shd w:val="clear" w:color="auto" w:fill="auto"/>
          </w:tcPr>
          <w:p w14:paraId="2E13D362" w14:textId="1FE85D6A" w:rsidR="00027B0A" w:rsidRPr="00AF7BE6" w:rsidRDefault="00027B0A" w:rsidP="00027B0A">
            <w:pPr>
              <w:spacing w:after="0" w:line="240" w:lineRule="auto"/>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Виробничі запаси</w:t>
            </w:r>
            <w:r w:rsidR="00434758" w:rsidRPr="00AF7BE6">
              <w:rPr>
                <w:rFonts w:ascii="Times New Roman" w:eastAsia="Times New Roman" w:hAnsi="Times New Roman" w:cs="Times New Roman"/>
                <w:color w:val="000000"/>
                <w:lang w:val="uk-UA" w:eastAsia="en-US"/>
              </w:rPr>
              <w:t xml:space="preserve"> </w:t>
            </w:r>
            <w:r w:rsidRPr="00AF7BE6">
              <w:rPr>
                <w:rFonts w:ascii="Times New Roman" w:eastAsia="Times New Roman" w:hAnsi="Times New Roman" w:cs="Times New Roman"/>
                <w:color w:val="000000"/>
                <w:lang w:val="uk-UA" w:eastAsia="en-US"/>
              </w:rPr>
              <w:t>(тис</w:t>
            </w:r>
            <w:r w:rsidR="00434758" w:rsidRPr="00AF7BE6">
              <w:rPr>
                <w:rFonts w:ascii="Times New Roman" w:eastAsia="Times New Roman" w:hAnsi="Times New Roman" w:cs="Times New Roman"/>
                <w:color w:val="000000"/>
                <w:lang w:val="uk-UA" w:eastAsia="en-US"/>
              </w:rPr>
              <w:t>.</w:t>
            </w:r>
            <w:r w:rsidRPr="00AF7BE6">
              <w:rPr>
                <w:rFonts w:ascii="Times New Roman" w:eastAsia="Times New Roman" w:hAnsi="Times New Roman" w:cs="Times New Roman"/>
                <w:color w:val="000000"/>
                <w:lang w:val="uk-UA" w:eastAsia="en-US"/>
              </w:rPr>
              <w:t xml:space="preserve"> грн</w:t>
            </w:r>
            <w:r w:rsidR="00434758" w:rsidRPr="00AF7BE6">
              <w:rPr>
                <w:rFonts w:ascii="Times New Roman" w:eastAsia="Times New Roman" w:hAnsi="Times New Roman" w:cs="Times New Roman"/>
                <w:color w:val="000000"/>
                <w:lang w:val="uk-UA" w:eastAsia="en-US"/>
              </w:rPr>
              <w:t>.</w:t>
            </w:r>
            <w:r w:rsidRPr="00AF7BE6">
              <w:rPr>
                <w:rFonts w:ascii="Times New Roman" w:eastAsia="Times New Roman" w:hAnsi="Times New Roman" w:cs="Times New Roman"/>
                <w:color w:val="000000"/>
                <w:lang w:val="uk-UA" w:eastAsia="en-US"/>
              </w:rPr>
              <w:t>)</w:t>
            </w:r>
          </w:p>
        </w:tc>
        <w:tc>
          <w:tcPr>
            <w:tcW w:w="1984" w:type="dxa"/>
            <w:shd w:val="clear" w:color="auto" w:fill="auto"/>
            <w:vAlign w:val="center"/>
          </w:tcPr>
          <w:p w14:paraId="49A11A1D" w14:textId="40FC8D9D" w:rsidR="00027B0A" w:rsidRPr="00AF7BE6" w:rsidRDefault="00434758"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3 335</w:t>
            </w:r>
          </w:p>
        </w:tc>
        <w:tc>
          <w:tcPr>
            <w:tcW w:w="1985" w:type="dxa"/>
            <w:shd w:val="clear" w:color="auto" w:fill="auto"/>
            <w:vAlign w:val="center"/>
          </w:tcPr>
          <w:p w14:paraId="44739743" w14:textId="7601B1DD" w:rsidR="00027B0A" w:rsidRPr="00AF7BE6" w:rsidRDefault="00434758"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6 489</w:t>
            </w:r>
          </w:p>
        </w:tc>
        <w:tc>
          <w:tcPr>
            <w:tcW w:w="1701" w:type="dxa"/>
            <w:shd w:val="clear" w:color="auto" w:fill="auto"/>
            <w:vAlign w:val="center"/>
          </w:tcPr>
          <w:p w14:paraId="217EBF2E" w14:textId="768A29AB" w:rsidR="00027B0A" w:rsidRPr="00AF7BE6" w:rsidRDefault="00434758"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+3 154</w:t>
            </w:r>
          </w:p>
        </w:tc>
      </w:tr>
      <w:tr w:rsidR="00027B0A" w:rsidRPr="00AF7BE6" w14:paraId="676F13BC" w14:textId="77777777" w:rsidTr="00AD4B93">
        <w:tc>
          <w:tcPr>
            <w:tcW w:w="4928" w:type="dxa"/>
            <w:shd w:val="clear" w:color="auto" w:fill="auto"/>
          </w:tcPr>
          <w:p w14:paraId="3ECF9DFE" w14:textId="358A69A5" w:rsidR="00027B0A" w:rsidRPr="00AF7BE6" w:rsidRDefault="00434758" w:rsidP="00027B0A">
            <w:pPr>
              <w:spacing w:after="0" w:line="240" w:lineRule="auto"/>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 xml:space="preserve">Готова продукція </w:t>
            </w:r>
            <w:r w:rsidR="00027B0A" w:rsidRPr="00AF7BE6">
              <w:rPr>
                <w:rFonts w:ascii="Times New Roman" w:eastAsia="Times New Roman" w:hAnsi="Times New Roman" w:cs="Times New Roman"/>
                <w:color w:val="000000"/>
                <w:lang w:val="uk-UA" w:eastAsia="en-US"/>
              </w:rPr>
              <w:t>(тис</w:t>
            </w:r>
            <w:r w:rsidRPr="00AF7BE6">
              <w:rPr>
                <w:rFonts w:ascii="Times New Roman" w:eastAsia="Times New Roman" w:hAnsi="Times New Roman" w:cs="Times New Roman"/>
                <w:color w:val="000000"/>
                <w:lang w:val="uk-UA" w:eastAsia="en-US"/>
              </w:rPr>
              <w:t>.</w:t>
            </w:r>
            <w:r w:rsidR="00027B0A" w:rsidRPr="00AF7BE6">
              <w:rPr>
                <w:rFonts w:ascii="Times New Roman" w:eastAsia="Times New Roman" w:hAnsi="Times New Roman" w:cs="Times New Roman"/>
                <w:color w:val="000000"/>
                <w:lang w:val="uk-UA" w:eastAsia="en-US"/>
              </w:rPr>
              <w:t xml:space="preserve"> грн</w:t>
            </w:r>
            <w:r w:rsidRPr="00AF7BE6">
              <w:rPr>
                <w:rFonts w:ascii="Times New Roman" w:eastAsia="Times New Roman" w:hAnsi="Times New Roman" w:cs="Times New Roman"/>
                <w:color w:val="000000"/>
                <w:lang w:val="uk-UA" w:eastAsia="en-US"/>
              </w:rPr>
              <w:t>.</w:t>
            </w:r>
            <w:r w:rsidR="00027B0A" w:rsidRPr="00AF7BE6">
              <w:rPr>
                <w:rFonts w:ascii="Times New Roman" w:eastAsia="Times New Roman" w:hAnsi="Times New Roman" w:cs="Times New Roman"/>
                <w:color w:val="000000"/>
                <w:lang w:val="uk-UA" w:eastAsia="en-US"/>
              </w:rPr>
              <w:t>)</w:t>
            </w:r>
          </w:p>
        </w:tc>
        <w:tc>
          <w:tcPr>
            <w:tcW w:w="1984" w:type="dxa"/>
            <w:shd w:val="clear" w:color="auto" w:fill="auto"/>
            <w:vAlign w:val="center"/>
          </w:tcPr>
          <w:p w14:paraId="3DECE780" w14:textId="764E92CC" w:rsidR="00027B0A" w:rsidRPr="00AF7BE6" w:rsidRDefault="00434758"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15 010</w:t>
            </w:r>
          </w:p>
        </w:tc>
        <w:tc>
          <w:tcPr>
            <w:tcW w:w="1985" w:type="dxa"/>
            <w:shd w:val="clear" w:color="auto" w:fill="auto"/>
            <w:vAlign w:val="center"/>
          </w:tcPr>
          <w:p w14:paraId="4479E541" w14:textId="43CBA2BC" w:rsidR="00027B0A" w:rsidRPr="00AF7BE6" w:rsidRDefault="00027B0A" w:rsidP="00027B0A">
            <w:pPr>
              <w:spacing w:after="0" w:line="240" w:lineRule="auto"/>
              <w:ind w:left="360"/>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 xml:space="preserve">    </w:t>
            </w:r>
            <w:r w:rsidR="00434758" w:rsidRPr="00AF7BE6">
              <w:rPr>
                <w:rFonts w:ascii="Times New Roman" w:eastAsia="Times New Roman" w:hAnsi="Times New Roman" w:cs="Times New Roman"/>
                <w:color w:val="000000"/>
                <w:lang w:val="uk-UA" w:eastAsia="en-US"/>
              </w:rPr>
              <w:t>13 408</w:t>
            </w:r>
          </w:p>
        </w:tc>
        <w:tc>
          <w:tcPr>
            <w:tcW w:w="1701" w:type="dxa"/>
            <w:shd w:val="clear" w:color="auto" w:fill="auto"/>
            <w:vAlign w:val="center"/>
          </w:tcPr>
          <w:p w14:paraId="135CBA98" w14:textId="3311C8B9" w:rsidR="00027B0A" w:rsidRPr="00AF7BE6" w:rsidRDefault="00434758" w:rsidP="00434758">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-1 602</w:t>
            </w:r>
          </w:p>
        </w:tc>
      </w:tr>
      <w:tr w:rsidR="00027B0A" w:rsidRPr="00AF7BE6" w14:paraId="150BBEBE" w14:textId="77777777" w:rsidTr="00AD4B93">
        <w:tc>
          <w:tcPr>
            <w:tcW w:w="4928" w:type="dxa"/>
            <w:shd w:val="clear" w:color="auto" w:fill="auto"/>
          </w:tcPr>
          <w:p w14:paraId="2B550E2E" w14:textId="6CFC9466" w:rsidR="00027B0A" w:rsidRPr="00AF7BE6" w:rsidRDefault="00027B0A" w:rsidP="00027B0A">
            <w:pPr>
              <w:spacing w:after="0" w:line="240" w:lineRule="auto"/>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Товари</w:t>
            </w:r>
            <w:r w:rsidR="00434758" w:rsidRPr="00AF7BE6">
              <w:rPr>
                <w:rFonts w:ascii="Times New Roman" w:eastAsia="Times New Roman" w:hAnsi="Times New Roman" w:cs="Times New Roman"/>
                <w:color w:val="000000"/>
                <w:lang w:val="uk-UA" w:eastAsia="en-US"/>
              </w:rPr>
              <w:t xml:space="preserve"> </w:t>
            </w:r>
            <w:r w:rsidRPr="00AF7BE6">
              <w:rPr>
                <w:rFonts w:ascii="Times New Roman" w:eastAsia="Times New Roman" w:hAnsi="Times New Roman" w:cs="Times New Roman"/>
                <w:color w:val="000000"/>
                <w:lang w:val="uk-UA" w:eastAsia="en-US"/>
              </w:rPr>
              <w:t>(тис</w:t>
            </w:r>
            <w:r w:rsidR="00434758" w:rsidRPr="00AF7BE6">
              <w:rPr>
                <w:rFonts w:ascii="Times New Roman" w:eastAsia="Times New Roman" w:hAnsi="Times New Roman" w:cs="Times New Roman"/>
                <w:color w:val="000000"/>
                <w:lang w:val="uk-UA" w:eastAsia="en-US"/>
              </w:rPr>
              <w:t>.</w:t>
            </w:r>
            <w:r w:rsidRPr="00AF7BE6">
              <w:rPr>
                <w:rFonts w:ascii="Times New Roman" w:eastAsia="Times New Roman" w:hAnsi="Times New Roman" w:cs="Times New Roman"/>
                <w:color w:val="000000"/>
                <w:lang w:val="uk-UA" w:eastAsia="en-US"/>
              </w:rPr>
              <w:t xml:space="preserve"> грн</w:t>
            </w:r>
            <w:r w:rsidR="00434758" w:rsidRPr="00AF7BE6">
              <w:rPr>
                <w:rFonts w:ascii="Times New Roman" w:eastAsia="Times New Roman" w:hAnsi="Times New Roman" w:cs="Times New Roman"/>
                <w:color w:val="000000"/>
                <w:lang w:val="uk-UA" w:eastAsia="en-US"/>
              </w:rPr>
              <w:t>.</w:t>
            </w:r>
            <w:r w:rsidRPr="00AF7BE6">
              <w:rPr>
                <w:rFonts w:ascii="Times New Roman" w:eastAsia="Times New Roman" w:hAnsi="Times New Roman" w:cs="Times New Roman"/>
                <w:color w:val="000000"/>
                <w:lang w:val="uk-UA" w:eastAsia="en-US"/>
              </w:rPr>
              <w:t>)</w:t>
            </w:r>
          </w:p>
        </w:tc>
        <w:tc>
          <w:tcPr>
            <w:tcW w:w="1984" w:type="dxa"/>
            <w:shd w:val="clear" w:color="auto" w:fill="auto"/>
            <w:vAlign w:val="center"/>
          </w:tcPr>
          <w:p w14:paraId="790DD05A" w14:textId="0BA85923" w:rsidR="00027B0A" w:rsidRPr="00AF7BE6" w:rsidRDefault="00027B0A"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1</w:t>
            </w:r>
            <w:r w:rsidR="00434758" w:rsidRPr="00AF7BE6">
              <w:rPr>
                <w:rFonts w:ascii="Times New Roman" w:eastAsia="Times New Roman" w:hAnsi="Times New Roman" w:cs="Times New Roman"/>
                <w:color w:val="000000"/>
                <w:lang w:val="uk-UA" w:eastAsia="en-US"/>
              </w:rPr>
              <w:t>7</w:t>
            </w:r>
          </w:p>
        </w:tc>
        <w:tc>
          <w:tcPr>
            <w:tcW w:w="1985" w:type="dxa"/>
            <w:shd w:val="clear" w:color="auto" w:fill="auto"/>
            <w:vAlign w:val="center"/>
          </w:tcPr>
          <w:p w14:paraId="21FEFE24" w14:textId="54703F79" w:rsidR="00027B0A" w:rsidRPr="00AF7BE6" w:rsidRDefault="00027B0A"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1</w:t>
            </w:r>
            <w:r w:rsidR="00434758" w:rsidRPr="00AF7BE6">
              <w:rPr>
                <w:rFonts w:ascii="Times New Roman" w:eastAsia="Times New Roman" w:hAnsi="Times New Roman" w:cs="Times New Roman"/>
                <w:color w:val="000000"/>
                <w:lang w:val="uk-UA" w:eastAsia="en-US"/>
              </w:rPr>
              <w:t>7</w:t>
            </w:r>
          </w:p>
        </w:tc>
        <w:tc>
          <w:tcPr>
            <w:tcW w:w="1701" w:type="dxa"/>
            <w:shd w:val="clear" w:color="auto" w:fill="auto"/>
            <w:vAlign w:val="center"/>
          </w:tcPr>
          <w:p w14:paraId="4E685EDA" w14:textId="77777777" w:rsidR="00027B0A" w:rsidRPr="00AF7BE6" w:rsidRDefault="00027B0A" w:rsidP="00027B0A">
            <w:pPr>
              <w:spacing w:after="0" w:line="240" w:lineRule="auto"/>
              <w:jc w:val="center"/>
              <w:rPr>
                <w:rFonts w:ascii="Times New Roman" w:eastAsia="Times New Roman" w:hAnsi="Times New Roman" w:cs="Times New Roman"/>
                <w:color w:val="000000"/>
                <w:lang w:val="uk-UA" w:eastAsia="en-US"/>
              </w:rPr>
            </w:pPr>
            <w:r w:rsidRPr="00AF7BE6">
              <w:rPr>
                <w:rFonts w:ascii="Times New Roman" w:eastAsia="Times New Roman" w:hAnsi="Times New Roman" w:cs="Times New Roman"/>
                <w:color w:val="000000"/>
                <w:lang w:val="uk-UA" w:eastAsia="en-US"/>
              </w:rPr>
              <w:t>-</w:t>
            </w:r>
          </w:p>
        </w:tc>
      </w:tr>
      <w:tr w:rsidR="00027B0A" w:rsidRPr="00AF7BE6" w14:paraId="54F0A4BB" w14:textId="77777777" w:rsidTr="00AD4B93">
        <w:tc>
          <w:tcPr>
            <w:tcW w:w="4928" w:type="dxa"/>
            <w:shd w:val="clear" w:color="auto" w:fill="auto"/>
          </w:tcPr>
          <w:p w14:paraId="7EA147ED" w14:textId="77777777" w:rsidR="00027B0A" w:rsidRPr="00AF7BE6" w:rsidRDefault="00027B0A" w:rsidP="00027B0A">
            <w:pPr>
              <w:spacing w:after="0" w:line="240" w:lineRule="auto"/>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Разом</w:t>
            </w:r>
          </w:p>
        </w:tc>
        <w:tc>
          <w:tcPr>
            <w:tcW w:w="1984" w:type="dxa"/>
            <w:shd w:val="clear" w:color="auto" w:fill="auto"/>
            <w:vAlign w:val="center"/>
          </w:tcPr>
          <w:p w14:paraId="0C514530" w14:textId="32593604" w:rsidR="00027B0A" w:rsidRPr="00AF7BE6" w:rsidRDefault="00434758"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18 362</w:t>
            </w:r>
          </w:p>
        </w:tc>
        <w:tc>
          <w:tcPr>
            <w:tcW w:w="1985" w:type="dxa"/>
            <w:shd w:val="clear" w:color="auto" w:fill="auto"/>
            <w:vAlign w:val="center"/>
          </w:tcPr>
          <w:p w14:paraId="24D8001B" w14:textId="68DF15B9" w:rsidR="00027B0A" w:rsidRPr="00AF7BE6" w:rsidRDefault="00434758"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19 914</w:t>
            </w:r>
          </w:p>
        </w:tc>
        <w:tc>
          <w:tcPr>
            <w:tcW w:w="1701" w:type="dxa"/>
            <w:shd w:val="clear" w:color="auto" w:fill="auto"/>
            <w:vAlign w:val="center"/>
          </w:tcPr>
          <w:p w14:paraId="0D88D218" w14:textId="1980B87B" w:rsidR="00027B0A" w:rsidRPr="00AF7BE6" w:rsidRDefault="00027B0A" w:rsidP="00027B0A">
            <w:pPr>
              <w:spacing w:after="0" w:line="240" w:lineRule="auto"/>
              <w:jc w:val="center"/>
              <w:rPr>
                <w:rFonts w:ascii="Times New Roman" w:eastAsia="Times New Roman" w:hAnsi="Times New Roman" w:cs="Times New Roman"/>
                <w:b/>
                <w:color w:val="000000"/>
                <w:lang w:val="uk-UA" w:eastAsia="en-US"/>
              </w:rPr>
            </w:pPr>
            <w:r w:rsidRPr="00AF7BE6">
              <w:rPr>
                <w:rFonts w:ascii="Times New Roman" w:eastAsia="Times New Roman" w:hAnsi="Times New Roman" w:cs="Times New Roman"/>
                <w:b/>
                <w:color w:val="000000"/>
                <w:lang w:val="uk-UA" w:eastAsia="en-US"/>
              </w:rPr>
              <w:t>+</w:t>
            </w:r>
            <w:r w:rsidR="00434758" w:rsidRPr="00AF7BE6">
              <w:rPr>
                <w:rFonts w:ascii="Times New Roman" w:eastAsia="Times New Roman" w:hAnsi="Times New Roman" w:cs="Times New Roman"/>
                <w:b/>
                <w:color w:val="000000"/>
                <w:lang w:val="uk-UA" w:eastAsia="en-US"/>
              </w:rPr>
              <w:t>1 552</w:t>
            </w:r>
          </w:p>
        </w:tc>
      </w:tr>
    </w:tbl>
    <w:p w14:paraId="2629F138" w14:textId="0A6F4F7D" w:rsidR="00CA3C86" w:rsidRPr="00AF7BE6" w:rsidRDefault="00CA3C86" w:rsidP="00CA3C86">
      <w:pPr>
        <w:spacing w:before="240" w:after="0" w:line="240" w:lineRule="auto"/>
        <w:ind w:firstLine="709"/>
        <w:jc w:val="both"/>
        <w:rPr>
          <w:rFonts w:ascii="Times New Roman" w:eastAsia="Times New Roman" w:hAnsi="Times New Roman" w:cs="Times New Roman"/>
          <w:bCs/>
          <w:color w:val="000000"/>
          <w:lang w:val="uk-UA"/>
        </w:rPr>
      </w:pPr>
      <w:r w:rsidRPr="00AF7BE6">
        <w:rPr>
          <w:rFonts w:ascii="Times New Roman" w:eastAsia="Times New Roman" w:hAnsi="Times New Roman" w:cs="Times New Roman"/>
          <w:bCs/>
          <w:color w:val="000000"/>
          <w:lang w:val="uk-UA"/>
        </w:rPr>
        <w:t xml:space="preserve">Поточні біологічні активи станом на 01.01.2020 року складали 1 тис. грн. Станом на 31.12.2020 року вартість поточних біологічних активів не змінилась та складає 1 тис. грн. </w:t>
      </w:r>
    </w:p>
    <w:p w14:paraId="2EEC74C0" w14:textId="1C4BE201" w:rsidR="00FC7673" w:rsidRPr="00AF7BE6" w:rsidRDefault="00FC7673" w:rsidP="002033D4">
      <w:pPr>
        <w:spacing w:before="240" w:after="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щодо обліку дебіторської заборгованості</w:t>
      </w:r>
    </w:p>
    <w:p w14:paraId="4047A2EC" w14:textId="77777777" w:rsidR="00FC7673" w:rsidRPr="00AF7BE6" w:rsidRDefault="00FC7673" w:rsidP="00FC7673">
      <w:pPr>
        <w:spacing w:after="0" w:line="240" w:lineRule="auto"/>
        <w:ind w:firstLine="709"/>
        <w:jc w:val="both"/>
        <w:rPr>
          <w:rFonts w:ascii="Times New Roman" w:eastAsia="Times New Roman" w:hAnsi="Times New Roman" w:cs="Times New Roman"/>
          <w:color w:val="000000"/>
          <w:lang w:val="uk-UA"/>
        </w:rPr>
      </w:pPr>
    </w:p>
    <w:p w14:paraId="174201EB" w14:textId="77777777" w:rsidR="00FC7673" w:rsidRPr="00AF7BE6" w:rsidRDefault="00FC7673"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Аудит даних дебіторської заборговано</w:t>
      </w:r>
      <w:r w:rsidR="00EA26C7" w:rsidRPr="00AF7BE6">
        <w:rPr>
          <w:rFonts w:ascii="Times New Roman" w:eastAsia="Times New Roman" w:hAnsi="Times New Roman" w:cs="Times New Roman"/>
          <w:color w:val="000000"/>
          <w:lang w:val="uk-UA"/>
        </w:rPr>
        <w:t>ї Товариства станом на 31.12.2020</w:t>
      </w:r>
      <w:r w:rsidRPr="00AF7BE6">
        <w:rPr>
          <w:rFonts w:ascii="Times New Roman" w:eastAsia="Times New Roman" w:hAnsi="Times New Roman" w:cs="Times New Roman"/>
          <w:color w:val="000000"/>
          <w:lang w:val="uk-UA"/>
        </w:rPr>
        <w:t xml:space="preserve"> р. свідчить, що облік дебіторської заборгованості, ведеться згідно чинного законодавства України. Облік дебіторської заборгованості вівся згідно з обраною концептуальною основою. Проведена Товариством інвентаризація була проведена вірно згідно з чинним законодавством "Положення про інвентаризацію активів та зобов'язань" від 02.09.2014 року № 879 з наступними змінами та доповненнями. </w:t>
      </w:r>
    </w:p>
    <w:p w14:paraId="160B321D" w14:textId="38290A7C" w:rsidR="0000239F" w:rsidRPr="00AF7BE6" w:rsidRDefault="00FC7673"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Таким чином аудитор під</w:t>
      </w:r>
      <w:r w:rsidR="00EA26C7" w:rsidRPr="00AF7BE6">
        <w:rPr>
          <w:rFonts w:ascii="Times New Roman" w:eastAsia="Times New Roman" w:hAnsi="Times New Roman" w:cs="Times New Roman"/>
          <w:color w:val="000000"/>
          <w:lang w:val="uk-UA"/>
        </w:rPr>
        <w:t>тверджує, що станом на 31.12.2020</w:t>
      </w:r>
      <w:r w:rsidRPr="00AF7BE6">
        <w:rPr>
          <w:rFonts w:ascii="Times New Roman" w:eastAsia="Times New Roman" w:hAnsi="Times New Roman" w:cs="Times New Roman"/>
          <w:color w:val="000000"/>
          <w:lang w:val="uk-UA"/>
        </w:rPr>
        <w:t xml:space="preserve"> року становить дебіторська заборгованість</w:t>
      </w:r>
      <w:r w:rsidR="0000239F" w:rsidRPr="00AF7BE6">
        <w:rPr>
          <w:rFonts w:ascii="Times New Roman" w:eastAsia="Times New Roman" w:hAnsi="Times New Roman" w:cs="Times New Roman"/>
          <w:color w:val="000000"/>
        </w:rPr>
        <w:t>:</w:t>
      </w:r>
    </w:p>
    <w:p w14:paraId="2D91FB46" w14:textId="210F9F34" w:rsidR="0000239F" w:rsidRPr="00AF7BE6" w:rsidRDefault="0000239F"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w:t>
      </w:r>
      <w:r w:rsidR="00FC7673" w:rsidRPr="00AF7BE6">
        <w:rPr>
          <w:rFonts w:ascii="Times New Roman" w:eastAsia="Times New Roman" w:hAnsi="Times New Roman" w:cs="Times New Roman"/>
          <w:color w:val="000000"/>
          <w:lang w:val="uk-UA"/>
        </w:rPr>
        <w:t xml:space="preserve"> за продукцію, товари, роботи, послуги – </w:t>
      </w:r>
      <w:r w:rsidR="004907A9" w:rsidRPr="00AF7BE6">
        <w:rPr>
          <w:rFonts w:ascii="Times New Roman" w:eastAsia="Times New Roman" w:hAnsi="Times New Roman" w:cs="Times New Roman"/>
          <w:color w:val="000000"/>
          <w:lang w:val="uk-UA"/>
        </w:rPr>
        <w:t>5 680</w:t>
      </w:r>
      <w:r w:rsidR="00FC7673" w:rsidRPr="00AF7BE6">
        <w:rPr>
          <w:rFonts w:ascii="Times New Roman" w:eastAsia="Times New Roman" w:hAnsi="Times New Roman" w:cs="Times New Roman"/>
          <w:color w:val="000000"/>
          <w:lang w:val="uk-UA"/>
        </w:rPr>
        <w:t xml:space="preserve"> тис</w:t>
      </w:r>
      <w:r w:rsidR="006545EE" w:rsidRPr="00AF7BE6">
        <w:rPr>
          <w:rFonts w:ascii="Times New Roman" w:eastAsia="Times New Roman" w:hAnsi="Times New Roman" w:cs="Times New Roman"/>
          <w:color w:val="000000"/>
          <w:lang w:val="uk-UA"/>
        </w:rPr>
        <w:t>.</w:t>
      </w:r>
      <w:r w:rsidR="00FC7673" w:rsidRPr="00AF7BE6">
        <w:rPr>
          <w:rFonts w:ascii="Times New Roman" w:eastAsia="Times New Roman" w:hAnsi="Times New Roman" w:cs="Times New Roman"/>
          <w:color w:val="000000"/>
          <w:lang w:val="uk-UA"/>
        </w:rPr>
        <w:t xml:space="preserve"> грн</w:t>
      </w:r>
      <w:r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rPr>
        <w:t>;</w:t>
      </w:r>
      <w:r w:rsidR="004907A9" w:rsidRPr="00AF7BE6">
        <w:rPr>
          <w:rFonts w:ascii="Times New Roman" w:eastAsia="Times New Roman" w:hAnsi="Times New Roman" w:cs="Times New Roman"/>
          <w:color w:val="000000"/>
          <w:lang w:val="uk-UA"/>
        </w:rPr>
        <w:t xml:space="preserve"> </w:t>
      </w:r>
    </w:p>
    <w:p w14:paraId="108D72C0" w14:textId="1E235F94" w:rsidR="0000239F" w:rsidRPr="00AF7BE6" w:rsidRDefault="0000239F"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w:t>
      </w:r>
      <w:r w:rsidR="004907A9" w:rsidRPr="00AF7BE6">
        <w:rPr>
          <w:rFonts w:ascii="Times New Roman" w:eastAsia="Times New Roman" w:hAnsi="Times New Roman" w:cs="Times New Roman"/>
          <w:color w:val="000000"/>
          <w:lang w:val="uk-UA"/>
        </w:rPr>
        <w:t>за виданими авансами - 1 152 тис. грн.</w:t>
      </w:r>
      <w:r w:rsidRPr="00AF7BE6">
        <w:rPr>
          <w:rFonts w:ascii="Times New Roman" w:eastAsia="Times New Roman" w:hAnsi="Times New Roman" w:cs="Times New Roman"/>
          <w:color w:val="000000"/>
        </w:rPr>
        <w:t>;</w:t>
      </w:r>
      <w:r w:rsidR="004907A9" w:rsidRPr="00AF7BE6">
        <w:rPr>
          <w:rFonts w:ascii="Times New Roman" w:eastAsia="Times New Roman" w:hAnsi="Times New Roman" w:cs="Times New Roman"/>
          <w:color w:val="000000"/>
          <w:lang w:val="uk-UA"/>
        </w:rPr>
        <w:t xml:space="preserve"> </w:t>
      </w:r>
    </w:p>
    <w:p w14:paraId="42CFCF25" w14:textId="4C60EC93" w:rsidR="0000239F" w:rsidRPr="00AF7BE6" w:rsidRDefault="0000239F"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w:t>
      </w:r>
      <w:r w:rsidR="004907A9" w:rsidRPr="00AF7BE6">
        <w:rPr>
          <w:rFonts w:ascii="Times New Roman" w:eastAsia="Times New Roman" w:hAnsi="Times New Roman" w:cs="Times New Roman"/>
          <w:color w:val="000000"/>
          <w:lang w:val="uk-UA"/>
        </w:rPr>
        <w:t>з бюджетом - 117 тис. грн.</w:t>
      </w:r>
      <w:r w:rsidRPr="00AF7BE6">
        <w:rPr>
          <w:rFonts w:ascii="Times New Roman" w:eastAsia="Times New Roman" w:hAnsi="Times New Roman" w:cs="Times New Roman"/>
          <w:color w:val="000000"/>
        </w:rPr>
        <w:t>;</w:t>
      </w:r>
      <w:r w:rsidR="00FC7673" w:rsidRPr="00AF7BE6">
        <w:rPr>
          <w:rFonts w:ascii="Times New Roman" w:eastAsia="Times New Roman" w:hAnsi="Times New Roman" w:cs="Times New Roman"/>
          <w:color w:val="000000"/>
          <w:lang w:val="uk-UA"/>
        </w:rPr>
        <w:t xml:space="preserve"> </w:t>
      </w:r>
    </w:p>
    <w:p w14:paraId="53427901" w14:textId="77777777" w:rsidR="0000239F" w:rsidRPr="00AF7BE6" w:rsidRDefault="0000239F"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 </w:t>
      </w:r>
      <w:r w:rsidR="00FC7673" w:rsidRPr="00AF7BE6">
        <w:rPr>
          <w:rFonts w:ascii="Times New Roman" w:eastAsia="Times New Roman" w:hAnsi="Times New Roman" w:cs="Times New Roman"/>
          <w:color w:val="000000"/>
          <w:lang w:val="uk-UA"/>
        </w:rPr>
        <w:t xml:space="preserve">інша поточна дебіторська заборгованість – </w:t>
      </w:r>
      <w:r w:rsidR="00C84ACF" w:rsidRPr="00AF7BE6">
        <w:rPr>
          <w:rFonts w:ascii="Times New Roman" w:eastAsia="Times New Roman" w:hAnsi="Times New Roman" w:cs="Times New Roman"/>
          <w:color w:val="000000"/>
          <w:lang w:val="uk-UA"/>
        </w:rPr>
        <w:t xml:space="preserve"> </w:t>
      </w:r>
      <w:r w:rsidR="004907A9" w:rsidRPr="00AF7BE6">
        <w:rPr>
          <w:rFonts w:ascii="Times New Roman" w:eastAsia="Times New Roman" w:hAnsi="Times New Roman" w:cs="Times New Roman"/>
          <w:color w:val="000000"/>
          <w:lang w:val="uk-UA"/>
        </w:rPr>
        <w:t>191</w:t>
      </w:r>
      <w:r w:rsidR="006A453F" w:rsidRPr="00AF7BE6">
        <w:rPr>
          <w:rFonts w:ascii="Times New Roman" w:eastAsia="Times New Roman" w:hAnsi="Times New Roman" w:cs="Times New Roman"/>
          <w:color w:val="000000"/>
          <w:lang w:val="uk-UA"/>
        </w:rPr>
        <w:t xml:space="preserve"> </w:t>
      </w:r>
      <w:r w:rsidR="00FC7673" w:rsidRPr="00AF7BE6">
        <w:rPr>
          <w:rFonts w:ascii="Times New Roman" w:eastAsia="Times New Roman" w:hAnsi="Times New Roman" w:cs="Times New Roman"/>
          <w:color w:val="000000"/>
          <w:lang w:val="uk-UA"/>
        </w:rPr>
        <w:t>тис</w:t>
      </w:r>
      <w:r w:rsidR="006545EE" w:rsidRPr="00AF7BE6">
        <w:rPr>
          <w:rFonts w:ascii="Times New Roman" w:eastAsia="Times New Roman" w:hAnsi="Times New Roman" w:cs="Times New Roman"/>
          <w:color w:val="000000"/>
          <w:lang w:val="uk-UA"/>
        </w:rPr>
        <w:t>.</w:t>
      </w:r>
      <w:r w:rsidR="00FC7673" w:rsidRPr="00AF7BE6">
        <w:rPr>
          <w:rFonts w:ascii="Times New Roman" w:eastAsia="Times New Roman" w:hAnsi="Times New Roman" w:cs="Times New Roman"/>
          <w:color w:val="000000"/>
          <w:lang w:val="uk-UA"/>
        </w:rPr>
        <w:t xml:space="preserve"> грн. </w:t>
      </w:r>
    </w:p>
    <w:p w14:paraId="5A50411A" w14:textId="6FDB8321" w:rsidR="00FC7673" w:rsidRPr="00AF7BE6" w:rsidRDefault="00FC7673"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Зауважень до обліку не виявлено.</w:t>
      </w:r>
    </w:p>
    <w:p w14:paraId="53DE6D24" w14:textId="58CD2576" w:rsidR="00FC7673" w:rsidRPr="00AF7BE6" w:rsidRDefault="00FC7673" w:rsidP="005434AF">
      <w:pPr>
        <w:suppressAutoHyphens/>
        <w:spacing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Дебіторська заборгованість </w:t>
      </w:r>
      <w:r w:rsidR="008355C0" w:rsidRPr="00AF7BE6">
        <w:rPr>
          <w:rFonts w:ascii="Times New Roman" w:hAnsi="Times New Roman" w:cs="Times New Roman"/>
          <w:lang w:val="uk-UA"/>
        </w:rPr>
        <w:t>Акціонерного товариства «Кременчуцьке кар’єроуправління «Кварц»</w:t>
      </w:r>
      <w:r w:rsidR="006A453F"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станом на 31 грудня 20</w:t>
      </w:r>
      <w:r w:rsidR="00EA26C7"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та 201</w:t>
      </w:r>
      <w:r w:rsidR="00EA26C7" w:rsidRPr="00AF7BE6">
        <w:rPr>
          <w:rFonts w:ascii="Times New Roman" w:eastAsia="Times New Roman" w:hAnsi="Times New Roman" w:cs="Times New Roman"/>
          <w:color w:val="000000"/>
          <w:lang w:val="uk-UA"/>
        </w:rPr>
        <w:t>9</w:t>
      </w:r>
      <w:r w:rsidRPr="00AF7BE6">
        <w:rPr>
          <w:rFonts w:ascii="Times New Roman" w:eastAsia="Times New Roman" w:hAnsi="Times New Roman" w:cs="Times New Roman"/>
          <w:color w:val="000000"/>
          <w:lang w:val="uk-UA"/>
        </w:rPr>
        <w:t xml:space="preserve"> років представлена наступним чином:                                                                            </w:t>
      </w:r>
    </w:p>
    <w:tbl>
      <w:tblPr>
        <w:tblStyle w:val="a6"/>
        <w:tblW w:w="0" w:type="auto"/>
        <w:tblLook w:val="04A0" w:firstRow="1" w:lastRow="0" w:firstColumn="1" w:lastColumn="0" w:noHBand="0" w:noVBand="1"/>
      </w:tblPr>
      <w:tblGrid>
        <w:gridCol w:w="4644"/>
        <w:gridCol w:w="1985"/>
        <w:gridCol w:w="2126"/>
        <w:gridCol w:w="1843"/>
      </w:tblGrid>
      <w:tr w:rsidR="00FC7673" w:rsidRPr="00AF7BE6" w14:paraId="327BCE89" w14:textId="77777777" w:rsidTr="00EA26C7">
        <w:tc>
          <w:tcPr>
            <w:tcW w:w="4644" w:type="dxa"/>
          </w:tcPr>
          <w:p w14:paraId="170DF119" w14:textId="77777777" w:rsidR="00FC7673" w:rsidRPr="00AF7BE6" w:rsidRDefault="00FC7673"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Дебіторська заборгованість</w:t>
            </w:r>
          </w:p>
        </w:tc>
        <w:tc>
          <w:tcPr>
            <w:tcW w:w="1985" w:type="dxa"/>
          </w:tcPr>
          <w:p w14:paraId="0CE6F898" w14:textId="77777777" w:rsidR="00FC7673" w:rsidRPr="00AF7BE6" w:rsidRDefault="00FC7673" w:rsidP="00EA26C7">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 201</w:t>
            </w:r>
            <w:r w:rsidR="00EA26C7" w:rsidRPr="00AF7BE6">
              <w:rPr>
                <w:rFonts w:ascii="Times New Roman" w:eastAsia="Times New Roman" w:hAnsi="Times New Roman" w:cs="Times New Roman"/>
                <w:b/>
                <w:color w:val="000000"/>
              </w:rPr>
              <w:t>9</w:t>
            </w:r>
            <w:r w:rsidRPr="00AF7BE6">
              <w:rPr>
                <w:rFonts w:ascii="Times New Roman" w:eastAsia="Times New Roman" w:hAnsi="Times New Roman" w:cs="Times New Roman"/>
                <w:b/>
                <w:color w:val="000000"/>
              </w:rPr>
              <w:t xml:space="preserve"> р.</w:t>
            </w:r>
          </w:p>
        </w:tc>
        <w:tc>
          <w:tcPr>
            <w:tcW w:w="2126" w:type="dxa"/>
          </w:tcPr>
          <w:p w14:paraId="13DB8EA7" w14:textId="77777777" w:rsidR="00FC7673" w:rsidRPr="00AF7BE6" w:rsidRDefault="00FC7673" w:rsidP="00EA26C7">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31.12.20</w:t>
            </w:r>
            <w:r w:rsidR="00EA26C7" w:rsidRPr="00AF7BE6">
              <w:rPr>
                <w:rFonts w:ascii="Times New Roman" w:eastAsia="Times New Roman" w:hAnsi="Times New Roman" w:cs="Times New Roman"/>
                <w:b/>
                <w:color w:val="000000"/>
              </w:rPr>
              <w:t>20</w:t>
            </w:r>
            <w:r w:rsidRPr="00AF7BE6">
              <w:rPr>
                <w:rFonts w:ascii="Times New Roman" w:eastAsia="Times New Roman" w:hAnsi="Times New Roman" w:cs="Times New Roman"/>
                <w:b/>
                <w:color w:val="000000"/>
              </w:rPr>
              <w:t xml:space="preserve"> р.</w:t>
            </w:r>
          </w:p>
        </w:tc>
        <w:tc>
          <w:tcPr>
            <w:tcW w:w="1843" w:type="dxa"/>
          </w:tcPr>
          <w:p w14:paraId="68FC4F51" w14:textId="77777777" w:rsidR="00FC7673" w:rsidRPr="00AF7BE6" w:rsidRDefault="00FC7673"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Зміни(+,-)</w:t>
            </w:r>
          </w:p>
        </w:tc>
      </w:tr>
      <w:tr w:rsidR="00FC7673" w:rsidRPr="00AF7BE6" w14:paraId="42E9AA29" w14:textId="77777777" w:rsidTr="00EA26C7">
        <w:tc>
          <w:tcPr>
            <w:tcW w:w="4644" w:type="dxa"/>
          </w:tcPr>
          <w:p w14:paraId="52AF3E20" w14:textId="5F965494" w:rsidR="00FC7673" w:rsidRPr="00AF7BE6" w:rsidRDefault="00FC7673"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Дебіторська заборгованість за продукцію, товари, роботи, послуги</w:t>
            </w:r>
            <w:r w:rsidR="0091570B" w:rsidRPr="00AF7BE6">
              <w:rPr>
                <w:rFonts w:ascii="Times New Roman" w:eastAsia="Times New Roman" w:hAnsi="Times New Roman" w:cs="Times New Roman"/>
                <w:color w:val="000000"/>
              </w:rPr>
              <w:t xml:space="preserve"> </w:t>
            </w:r>
            <w:r w:rsidRPr="00AF7BE6">
              <w:rPr>
                <w:rFonts w:ascii="Times New Roman" w:eastAsia="Times New Roman" w:hAnsi="Times New Roman" w:cs="Times New Roman"/>
                <w:color w:val="000000"/>
              </w:rPr>
              <w:t>(тис</w:t>
            </w:r>
            <w:r w:rsidR="0091570B" w:rsidRPr="00AF7BE6">
              <w:rPr>
                <w:rFonts w:ascii="Times New Roman" w:eastAsia="Times New Roman" w:hAnsi="Times New Roman" w:cs="Times New Roman"/>
                <w:color w:val="000000"/>
              </w:rPr>
              <w:t>.</w:t>
            </w:r>
            <w:r w:rsidRPr="00AF7BE6">
              <w:rPr>
                <w:rFonts w:ascii="Times New Roman" w:eastAsia="Times New Roman" w:hAnsi="Times New Roman" w:cs="Times New Roman"/>
                <w:color w:val="000000"/>
              </w:rPr>
              <w:t xml:space="preserve"> грн</w:t>
            </w:r>
            <w:r w:rsidR="0091570B" w:rsidRPr="00AF7BE6">
              <w:rPr>
                <w:rFonts w:ascii="Times New Roman" w:eastAsia="Times New Roman" w:hAnsi="Times New Roman" w:cs="Times New Roman"/>
                <w:color w:val="000000"/>
              </w:rPr>
              <w:t>.</w:t>
            </w:r>
            <w:r w:rsidRPr="00AF7BE6">
              <w:rPr>
                <w:rFonts w:ascii="Times New Roman" w:eastAsia="Times New Roman" w:hAnsi="Times New Roman" w:cs="Times New Roman"/>
                <w:color w:val="000000"/>
              </w:rPr>
              <w:t>)</w:t>
            </w:r>
          </w:p>
        </w:tc>
        <w:tc>
          <w:tcPr>
            <w:tcW w:w="1985" w:type="dxa"/>
            <w:vAlign w:val="center"/>
          </w:tcPr>
          <w:p w14:paraId="27EF4218" w14:textId="707A4424" w:rsidR="00FC7673" w:rsidRPr="00AF7BE6" w:rsidRDefault="00714F3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3 953</w:t>
            </w:r>
          </w:p>
        </w:tc>
        <w:tc>
          <w:tcPr>
            <w:tcW w:w="2126" w:type="dxa"/>
            <w:vAlign w:val="center"/>
          </w:tcPr>
          <w:p w14:paraId="20C75ED9" w14:textId="6F619D8F" w:rsidR="00FC7673" w:rsidRPr="00AF7BE6" w:rsidRDefault="00714F3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5 680</w:t>
            </w:r>
          </w:p>
        </w:tc>
        <w:tc>
          <w:tcPr>
            <w:tcW w:w="1843" w:type="dxa"/>
            <w:vAlign w:val="center"/>
          </w:tcPr>
          <w:p w14:paraId="1B8E734A" w14:textId="4ED59E25" w:rsidR="00FC7673" w:rsidRPr="00AF7BE6" w:rsidRDefault="00714F3E" w:rsidP="009C1872">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E91CFE" w:rsidRPr="00AF7BE6">
              <w:rPr>
                <w:rFonts w:ascii="Times New Roman" w:eastAsia="Times New Roman" w:hAnsi="Times New Roman" w:cs="Times New Roman"/>
                <w:color w:val="000000"/>
              </w:rPr>
              <w:t>1 727</w:t>
            </w:r>
          </w:p>
        </w:tc>
      </w:tr>
      <w:tr w:rsidR="00FC7673" w:rsidRPr="00AF7BE6" w14:paraId="1B179936" w14:textId="77777777" w:rsidTr="00EA26C7">
        <w:tc>
          <w:tcPr>
            <w:tcW w:w="4644" w:type="dxa"/>
          </w:tcPr>
          <w:p w14:paraId="1931BD4A" w14:textId="33A63A3B" w:rsidR="00FC7673" w:rsidRPr="00AF7BE6" w:rsidRDefault="00FC7673" w:rsidP="004917B0">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Дебіторська заборгованість</w:t>
            </w:r>
            <w:r w:rsidR="004917B0" w:rsidRPr="00AF7BE6">
              <w:rPr>
                <w:rFonts w:ascii="Times New Roman" w:eastAsia="Times New Roman" w:hAnsi="Times New Roman" w:cs="Times New Roman"/>
                <w:color w:val="000000"/>
              </w:rPr>
              <w:t xml:space="preserve"> за розрахунками </w:t>
            </w:r>
            <w:r w:rsidRPr="00AF7BE6">
              <w:rPr>
                <w:rFonts w:ascii="Times New Roman" w:eastAsia="Times New Roman" w:hAnsi="Times New Roman" w:cs="Times New Roman"/>
                <w:color w:val="000000"/>
              </w:rPr>
              <w:t>за виданими авансами</w:t>
            </w:r>
            <w:r w:rsidR="0091570B" w:rsidRPr="00AF7BE6">
              <w:rPr>
                <w:rFonts w:ascii="Times New Roman" w:eastAsia="Times New Roman" w:hAnsi="Times New Roman" w:cs="Times New Roman"/>
                <w:color w:val="000000"/>
              </w:rPr>
              <w:t xml:space="preserve"> </w:t>
            </w:r>
            <w:r w:rsidRPr="00AF7BE6">
              <w:rPr>
                <w:rFonts w:ascii="Times New Roman" w:eastAsia="Times New Roman" w:hAnsi="Times New Roman" w:cs="Times New Roman"/>
                <w:color w:val="000000"/>
              </w:rPr>
              <w:t>(тис</w:t>
            </w:r>
            <w:r w:rsidR="0091570B" w:rsidRPr="00AF7BE6">
              <w:rPr>
                <w:rFonts w:ascii="Times New Roman" w:eastAsia="Times New Roman" w:hAnsi="Times New Roman" w:cs="Times New Roman"/>
                <w:color w:val="000000"/>
              </w:rPr>
              <w:t>.</w:t>
            </w:r>
            <w:r w:rsidRPr="00AF7BE6">
              <w:rPr>
                <w:rFonts w:ascii="Times New Roman" w:eastAsia="Times New Roman" w:hAnsi="Times New Roman" w:cs="Times New Roman"/>
                <w:color w:val="000000"/>
              </w:rPr>
              <w:t xml:space="preserve"> грн</w:t>
            </w:r>
            <w:r w:rsidR="0091570B" w:rsidRPr="00AF7BE6">
              <w:rPr>
                <w:rFonts w:ascii="Times New Roman" w:eastAsia="Times New Roman" w:hAnsi="Times New Roman" w:cs="Times New Roman"/>
                <w:color w:val="000000"/>
              </w:rPr>
              <w:t>.</w:t>
            </w:r>
            <w:r w:rsidRPr="00AF7BE6">
              <w:rPr>
                <w:rFonts w:ascii="Times New Roman" w:eastAsia="Times New Roman" w:hAnsi="Times New Roman" w:cs="Times New Roman"/>
                <w:color w:val="000000"/>
              </w:rPr>
              <w:t>)</w:t>
            </w:r>
          </w:p>
        </w:tc>
        <w:tc>
          <w:tcPr>
            <w:tcW w:w="1985" w:type="dxa"/>
            <w:vAlign w:val="center"/>
          </w:tcPr>
          <w:p w14:paraId="243783EB" w14:textId="53B7AC25" w:rsidR="00FC7673"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3 634</w:t>
            </w:r>
          </w:p>
        </w:tc>
        <w:tc>
          <w:tcPr>
            <w:tcW w:w="2126" w:type="dxa"/>
            <w:vAlign w:val="center"/>
          </w:tcPr>
          <w:p w14:paraId="00CCA584" w14:textId="61A486D6" w:rsidR="00FC7673"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1 152</w:t>
            </w:r>
          </w:p>
        </w:tc>
        <w:tc>
          <w:tcPr>
            <w:tcW w:w="1843" w:type="dxa"/>
            <w:vAlign w:val="center"/>
          </w:tcPr>
          <w:p w14:paraId="45F675F2" w14:textId="5F22DE7A" w:rsidR="00FC7673" w:rsidRPr="00AF7BE6" w:rsidRDefault="006A453F"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E91CFE" w:rsidRPr="00AF7BE6">
              <w:rPr>
                <w:rFonts w:ascii="Times New Roman" w:eastAsia="Times New Roman" w:hAnsi="Times New Roman" w:cs="Times New Roman"/>
                <w:color w:val="000000"/>
              </w:rPr>
              <w:t>2482</w:t>
            </w:r>
          </w:p>
        </w:tc>
      </w:tr>
      <w:tr w:rsidR="0091570B" w:rsidRPr="00AF7BE6" w14:paraId="1403B0C4" w14:textId="77777777" w:rsidTr="00EA26C7">
        <w:tc>
          <w:tcPr>
            <w:tcW w:w="4644" w:type="dxa"/>
          </w:tcPr>
          <w:p w14:paraId="0FF1EB1F" w14:textId="2EDFF4CB" w:rsidR="0091570B" w:rsidRPr="00AF7BE6" w:rsidRDefault="0091570B"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Дебіторська заборгованість за розрахунками з бюджетом (тис. грн.)</w:t>
            </w:r>
          </w:p>
        </w:tc>
        <w:tc>
          <w:tcPr>
            <w:tcW w:w="1985" w:type="dxa"/>
            <w:vAlign w:val="center"/>
          </w:tcPr>
          <w:p w14:paraId="4ED5C5E6" w14:textId="7F0FF2E7" w:rsidR="0091570B"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116</w:t>
            </w:r>
          </w:p>
        </w:tc>
        <w:tc>
          <w:tcPr>
            <w:tcW w:w="2126" w:type="dxa"/>
            <w:vAlign w:val="center"/>
          </w:tcPr>
          <w:p w14:paraId="7A15E6E3" w14:textId="6234A610" w:rsidR="0091570B"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117</w:t>
            </w:r>
          </w:p>
        </w:tc>
        <w:tc>
          <w:tcPr>
            <w:tcW w:w="1843" w:type="dxa"/>
            <w:vAlign w:val="center"/>
          </w:tcPr>
          <w:p w14:paraId="3547869B" w14:textId="09A5B20C" w:rsidR="0091570B"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w:t>
            </w:r>
          </w:p>
        </w:tc>
      </w:tr>
      <w:tr w:rsidR="00FC7673" w:rsidRPr="00AF7BE6" w14:paraId="3B8F0A10" w14:textId="77777777" w:rsidTr="00EA26C7">
        <w:tc>
          <w:tcPr>
            <w:tcW w:w="4644" w:type="dxa"/>
          </w:tcPr>
          <w:p w14:paraId="735D78D1" w14:textId="360E77FA" w:rsidR="00FC7673" w:rsidRPr="00AF7BE6" w:rsidRDefault="00FC7673"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lastRenderedPageBreak/>
              <w:t>Інша поточна дебіторська заборгованість</w:t>
            </w:r>
            <w:r w:rsidR="0091570B" w:rsidRPr="00AF7BE6">
              <w:rPr>
                <w:rFonts w:ascii="Times New Roman" w:eastAsia="Times New Roman" w:hAnsi="Times New Roman" w:cs="Times New Roman"/>
                <w:color w:val="000000"/>
              </w:rPr>
              <w:t xml:space="preserve"> </w:t>
            </w:r>
            <w:r w:rsidRPr="00AF7BE6">
              <w:rPr>
                <w:rFonts w:ascii="Times New Roman" w:eastAsia="Times New Roman" w:hAnsi="Times New Roman" w:cs="Times New Roman"/>
                <w:color w:val="000000"/>
              </w:rPr>
              <w:t>(тис</w:t>
            </w:r>
            <w:r w:rsidR="0091570B" w:rsidRPr="00AF7BE6">
              <w:rPr>
                <w:rFonts w:ascii="Times New Roman" w:eastAsia="Times New Roman" w:hAnsi="Times New Roman" w:cs="Times New Roman"/>
                <w:color w:val="000000"/>
              </w:rPr>
              <w:t>.</w:t>
            </w:r>
            <w:r w:rsidRPr="00AF7BE6">
              <w:rPr>
                <w:rFonts w:ascii="Times New Roman" w:eastAsia="Times New Roman" w:hAnsi="Times New Roman" w:cs="Times New Roman"/>
                <w:color w:val="000000"/>
              </w:rPr>
              <w:t xml:space="preserve"> грн</w:t>
            </w:r>
            <w:r w:rsidR="0091570B" w:rsidRPr="00AF7BE6">
              <w:rPr>
                <w:rFonts w:ascii="Times New Roman" w:eastAsia="Times New Roman" w:hAnsi="Times New Roman" w:cs="Times New Roman"/>
                <w:color w:val="000000"/>
              </w:rPr>
              <w:t>.</w:t>
            </w:r>
            <w:r w:rsidRPr="00AF7BE6">
              <w:rPr>
                <w:rFonts w:ascii="Times New Roman" w:eastAsia="Times New Roman" w:hAnsi="Times New Roman" w:cs="Times New Roman"/>
                <w:color w:val="000000"/>
              </w:rPr>
              <w:t>)</w:t>
            </w:r>
          </w:p>
        </w:tc>
        <w:tc>
          <w:tcPr>
            <w:tcW w:w="1985" w:type="dxa"/>
            <w:vAlign w:val="center"/>
          </w:tcPr>
          <w:p w14:paraId="63F0DFB6" w14:textId="5469FBF8" w:rsidR="00FC7673"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171</w:t>
            </w:r>
          </w:p>
        </w:tc>
        <w:tc>
          <w:tcPr>
            <w:tcW w:w="2126" w:type="dxa"/>
            <w:vAlign w:val="center"/>
          </w:tcPr>
          <w:p w14:paraId="2AC337A3" w14:textId="51B9FDC5" w:rsidR="00FC7673"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191</w:t>
            </w:r>
          </w:p>
        </w:tc>
        <w:tc>
          <w:tcPr>
            <w:tcW w:w="1843" w:type="dxa"/>
            <w:vAlign w:val="center"/>
          </w:tcPr>
          <w:p w14:paraId="1E3A3EFC" w14:textId="2B5DDCBE" w:rsidR="00FC7673" w:rsidRPr="00AF7BE6" w:rsidRDefault="00E91CFE"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-20</w:t>
            </w:r>
          </w:p>
        </w:tc>
      </w:tr>
      <w:tr w:rsidR="00FC7673" w:rsidRPr="00AF7BE6" w14:paraId="2668962D" w14:textId="77777777" w:rsidTr="00EA26C7">
        <w:tc>
          <w:tcPr>
            <w:tcW w:w="4644" w:type="dxa"/>
          </w:tcPr>
          <w:p w14:paraId="7981CA58" w14:textId="77777777" w:rsidR="00FC7673" w:rsidRPr="00AF7BE6" w:rsidRDefault="00FC7673"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Разом</w:t>
            </w:r>
          </w:p>
        </w:tc>
        <w:tc>
          <w:tcPr>
            <w:tcW w:w="1985" w:type="dxa"/>
          </w:tcPr>
          <w:p w14:paraId="033C9D90" w14:textId="1D41EAEA" w:rsidR="00FC7673" w:rsidRPr="00AF7BE6" w:rsidRDefault="00E91CFE"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7 874</w:t>
            </w:r>
          </w:p>
        </w:tc>
        <w:tc>
          <w:tcPr>
            <w:tcW w:w="2126" w:type="dxa"/>
          </w:tcPr>
          <w:p w14:paraId="47756013" w14:textId="797F2DF9" w:rsidR="00FC7673" w:rsidRPr="00AF7BE6" w:rsidRDefault="00E91CFE"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7 140</w:t>
            </w:r>
          </w:p>
        </w:tc>
        <w:tc>
          <w:tcPr>
            <w:tcW w:w="1843" w:type="dxa"/>
          </w:tcPr>
          <w:p w14:paraId="7CF38CAC" w14:textId="130ECF7A" w:rsidR="00FC7673" w:rsidRPr="00AF7BE6" w:rsidRDefault="006A453F" w:rsidP="000203C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w:t>
            </w:r>
            <w:r w:rsidR="00E91CFE" w:rsidRPr="00AF7BE6">
              <w:rPr>
                <w:rFonts w:ascii="Times New Roman" w:eastAsia="Times New Roman" w:hAnsi="Times New Roman" w:cs="Times New Roman"/>
                <w:b/>
                <w:color w:val="000000"/>
              </w:rPr>
              <w:t>734</w:t>
            </w:r>
          </w:p>
        </w:tc>
      </w:tr>
    </w:tbl>
    <w:p w14:paraId="15560136" w14:textId="77777777" w:rsidR="00DF4D9B" w:rsidRPr="00AF7BE6" w:rsidRDefault="00DF4D9B" w:rsidP="00545E7F">
      <w:pPr>
        <w:tabs>
          <w:tab w:val="left" w:pos="-142"/>
        </w:tabs>
        <w:spacing w:after="0" w:line="240" w:lineRule="auto"/>
        <w:rPr>
          <w:rFonts w:ascii="Times New Roman" w:eastAsia="Times New Roman" w:hAnsi="Times New Roman" w:cs="Times New Roman"/>
          <w:b/>
          <w:color w:val="000000"/>
          <w:lang w:val="uk-UA"/>
        </w:rPr>
      </w:pPr>
    </w:p>
    <w:p w14:paraId="1F792553" w14:textId="77777777" w:rsidR="005434AF" w:rsidRPr="00AF7BE6" w:rsidRDefault="005434AF" w:rsidP="005434AF">
      <w:pPr>
        <w:tabs>
          <w:tab w:val="left" w:pos="-142"/>
        </w:tabs>
        <w:spacing w:after="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Грошові кошти. Касові та банківські операції. Облік розрахунків</w:t>
      </w:r>
    </w:p>
    <w:p w14:paraId="0599972E" w14:textId="77777777" w:rsidR="005434AF" w:rsidRPr="00AF7BE6" w:rsidRDefault="005434AF" w:rsidP="005434AF">
      <w:pPr>
        <w:tabs>
          <w:tab w:val="left" w:pos="-142"/>
        </w:tabs>
        <w:spacing w:after="0" w:line="240" w:lineRule="auto"/>
        <w:ind w:firstLine="709"/>
        <w:jc w:val="center"/>
        <w:rPr>
          <w:rFonts w:ascii="Times New Roman" w:eastAsia="Times New Roman" w:hAnsi="Times New Roman" w:cs="Times New Roman"/>
          <w:b/>
          <w:color w:val="000000"/>
          <w:lang w:val="uk-UA"/>
        </w:rPr>
      </w:pPr>
    </w:p>
    <w:p w14:paraId="704971C3" w14:textId="77777777" w:rsidR="005434AF" w:rsidRPr="00AF7BE6" w:rsidRDefault="005434AF"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Облік касових та банківських операцій Товариства, відповідає чинному законодавству України. Порушень в обліку </w:t>
      </w:r>
      <w:r w:rsidR="00EA26C7" w:rsidRPr="00AF7BE6">
        <w:rPr>
          <w:rFonts w:ascii="Times New Roman" w:eastAsia="Times New Roman" w:hAnsi="Times New Roman" w:cs="Times New Roman"/>
          <w:color w:val="000000"/>
          <w:lang w:val="uk-UA"/>
        </w:rPr>
        <w:t>грошових коштів</w:t>
      </w:r>
      <w:r w:rsidRPr="00AF7BE6">
        <w:rPr>
          <w:rFonts w:ascii="Times New Roman" w:eastAsia="Times New Roman" w:hAnsi="Times New Roman" w:cs="Times New Roman"/>
          <w:color w:val="000000"/>
          <w:lang w:val="uk-UA"/>
        </w:rPr>
        <w:t xml:space="preserve"> не виявлено. За перевірений період облік розрахунків вівся з дотриманням діючих вимог. Залишки коштів готівки в касі та залишки на розрахунковому рахунку відповідають даним аналітичного обліку, даним касової книги, та даним банківських виписок.</w:t>
      </w:r>
    </w:p>
    <w:p w14:paraId="4C9E2C91" w14:textId="75376E9D" w:rsidR="005434AF" w:rsidRPr="00AF7BE6" w:rsidRDefault="005434AF" w:rsidP="005434AF">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Станом на 31.12.20</w:t>
      </w:r>
      <w:r w:rsidR="004D5F54"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на балансі Товариства сума грошових коштів та їх еквівалентів –  </w:t>
      </w:r>
      <w:r w:rsidR="0002256A" w:rsidRPr="00AF7BE6">
        <w:rPr>
          <w:rFonts w:ascii="Times New Roman" w:eastAsia="Times New Roman" w:hAnsi="Times New Roman" w:cs="Times New Roman"/>
          <w:color w:val="000000"/>
          <w:lang w:val="uk-UA"/>
        </w:rPr>
        <w:t>270</w:t>
      </w:r>
      <w:r w:rsidRPr="00AF7BE6">
        <w:rPr>
          <w:rFonts w:ascii="Times New Roman" w:eastAsia="Times New Roman" w:hAnsi="Times New Roman" w:cs="Times New Roman"/>
          <w:color w:val="000000"/>
          <w:lang w:val="uk-UA"/>
        </w:rPr>
        <w:t xml:space="preserve"> тис</w:t>
      </w:r>
      <w:r w:rsidR="004D5F54"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грн. </w:t>
      </w:r>
    </w:p>
    <w:p w14:paraId="6B2091B6" w14:textId="45AA283C" w:rsidR="005434AF" w:rsidRPr="00AF7BE6" w:rsidRDefault="005434AF" w:rsidP="00897D6F">
      <w:pPr>
        <w:suppressAutoHyphens/>
        <w:spacing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Гроші та їх еквіваленти </w:t>
      </w:r>
      <w:r w:rsidR="008355C0" w:rsidRPr="00AF7BE6">
        <w:rPr>
          <w:rFonts w:ascii="Times New Roman" w:hAnsi="Times New Roman" w:cs="Times New Roman"/>
          <w:lang w:val="uk-UA"/>
        </w:rPr>
        <w:t>Акціонерного товариства «Кременчуцьке кар’єроуправління «Кварц»</w:t>
      </w:r>
      <w:r w:rsidR="006A453F"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станом на 31 грудня 20</w:t>
      </w:r>
      <w:r w:rsidR="006E4C03"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та 201</w:t>
      </w:r>
      <w:r w:rsidR="006E4C03" w:rsidRPr="00AF7BE6">
        <w:rPr>
          <w:rFonts w:ascii="Times New Roman" w:eastAsia="Times New Roman" w:hAnsi="Times New Roman" w:cs="Times New Roman"/>
          <w:color w:val="000000"/>
          <w:lang w:val="uk-UA"/>
        </w:rPr>
        <w:t>9</w:t>
      </w:r>
      <w:r w:rsidRPr="00AF7BE6">
        <w:rPr>
          <w:rFonts w:ascii="Times New Roman" w:eastAsia="Times New Roman" w:hAnsi="Times New Roman" w:cs="Times New Roman"/>
          <w:color w:val="000000"/>
          <w:lang w:val="uk-UA"/>
        </w:rPr>
        <w:t xml:space="preserve"> років представлені наступним чином:                                                                </w:t>
      </w:r>
    </w:p>
    <w:tbl>
      <w:tblPr>
        <w:tblStyle w:val="a6"/>
        <w:tblW w:w="0" w:type="auto"/>
        <w:tblLook w:val="04A0" w:firstRow="1" w:lastRow="0" w:firstColumn="1" w:lastColumn="0" w:noHBand="0" w:noVBand="1"/>
      </w:tblPr>
      <w:tblGrid>
        <w:gridCol w:w="4644"/>
        <w:gridCol w:w="1985"/>
        <w:gridCol w:w="2126"/>
        <w:gridCol w:w="1843"/>
      </w:tblGrid>
      <w:tr w:rsidR="005434AF" w:rsidRPr="00AF7BE6" w14:paraId="3F577E1E" w14:textId="77777777" w:rsidTr="00EA26C7">
        <w:tc>
          <w:tcPr>
            <w:tcW w:w="4644" w:type="dxa"/>
            <w:vAlign w:val="center"/>
          </w:tcPr>
          <w:p w14:paraId="5B82E78E" w14:textId="77777777" w:rsidR="005434AF" w:rsidRPr="00AF7BE6" w:rsidRDefault="005434AF"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Гроші та їх еквіваленти</w:t>
            </w:r>
          </w:p>
        </w:tc>
        <w:tc>
          <w:tcPr>
            <w:tcW w:w="1985" w:type="dxa"/>
            <w:vAlign w:val="center"/>
          </w:tcPr>
          <w:p w14:paraId="47FA16EA" w14:textId="77777777" w:rsidR="005434AF" w:rsidRPr="00AF7BE6" w:rsidRDefault="005434AF" w:rsidP="00EA26C7">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 201</w:t>
            </w:r>
            <w:r w:rsidR="00EA26C7" w:rsidRPr="00AF7BE6">
              <w:rPr>
                <w:rFonts w:ascii="Times New Roman" w:eastAsia="Times New Roman" w:hAnsi="Times New Roman" w:cs="Times New Roman"/>
                <w:b/>
                <w:color w:val="000000"/>
              </w:rPr>
              <w:t>9</w:t>
            </w:r>
            <w:r w:rsidRPr="00AF7BE6">
              <w:rPr>
                <w:rFonts w:ascii="Times New Roman" w:eastAsia="Times New Roman" w:hAnsi="Times New Roman" w:cs="Times New Roman"/>
                <w:b/>
                <w:color w:val="000000"/>
              </w:rPr>
              <w:t xml:space="preserve"> р.</w:t>
            </w:r>
          </w:p>
        </w:tc>
        <w:tc>
          <w:tcPr>
            <w:tcW w:w="2126" w:type="dxa"/>
            <w:vAlign w:val="center"/>
          </w:tcPr>
          <w:p w14:paraId="604DF12A" w14:textId="77777777" w:rsidR="005434AF" w:rsidRPr="00AF7BE6" w:rsidRDefault="005434AF" w:rsidP="00EA26C7">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31.12.20</w:t>
            </w:r>
            <w:r w:rsidR="00EA26C7" w:rsidRPr="00AF7BE6">
              <w:rPr>
                <w:rFonts w:ascii="Times New Roman" w:eastAsia="Times New Roman" w:hAnsi="Times New Roman" w:cs="Times New Roman"/>
                <w:b/>
                <w:color w:val="000000"/>
              </w:rPr>
              <w:t>20</w:t>
            </w:r>
            <w:r w:rsidRPr="00AF7BE6">
              <w:rPr>
                <w:rFonts w:ascii="Times New Roman" w:eastAsia="Times New Roman" w:hAnsi="Times New Roman" w:cs="Times New Roman"/>
                <w:b/>
                <w:color w:val="000000"/>
              </w:rPr>
              <w:t xml:space="preserve"> р.</w:t>
            </w:r>
          </w:p>
        </w:tc>
        <w:tc>
          <w:tcPr>
            <w:tcW w:w="1843" w:type="dxa"/>
            <w:vAlign w:val="center"/>
          </w:tcPr>
          <w:p w14:paraId="2929B027" w14:textId="77777777" w:rsidR="005434AF" w:rsidRPr="00AF7BE6" w:rsidRDefault="005434AF" w:rsidP="005434AF">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Зміни(+,-)</w:t>
            </w:r>
          </w:p>
        </w:tc>
      </w:tr>
      <w:tr w:rsidR="000C1FBE" w:rsidRPr="00AF7BE6" w14:paraId="047B38AD" w14:textId="77777777" w:rsidTr="00EA26C7">
        <w:tc>
          <w:tcPr>
            <w:tcW w:w="4644" w:type="dxa"/>
            <w:vAlign w:val="center"/>
          </w:tcPr>
          <w:p w14:paraId="1A8E1659" w14:textId="77777777" w:rsidR="000C1FBE" w:rsidRPr="00AF7BE6" w:rsidRDefault="000C1FBE" w:rsidP="005434AF">
            <w:pPr>
              <w:rPr>
                <w:rFonts w:ascii="Times New Roman" w:eastAsia="Times New Roman" w:hAnsi="Times New Roman" w:cs="Times New Roman"/>
                <w:color w:val="000000"/>
              </w:rPr>
            </w:pPr>
            <w:r w:rsidRPr="00AF7BE6">
              <w:rPr>
                <w:rFonts w:ascii="Times New Roman" w:eastAsia="Times New Roman" w:hAnsi="Times New Roman" w:cs="Times New Roman"/>
                <w:color w:val="000000"/>
              </w:rPr>
              <w:t>Гроші та їх еквіваленти(тис грн) в т.ч.:</w:t>
            </w:r>
          </w:p>
        </w:tc>
        <w:tc>
          <w:tcPr>
            <w:tcW w:w="1985" w:type="dxa"/>
            <w:vAlign w:val="center"/>
          </w:tcPr>
          <w:p w14:paraId="57FC18D1" w14:textId="7366E002" w:rsidR="000C1FBE" w:rsidRPr="00AF7BE6" w:rsidRDefault="0002256A" w:rsidP="00DE7BA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2 989</w:t>
            </w:r>
          </w:p>
        </w:tc>
        <w:tc>
          <w:tcPr>
            <w:tcW w:w="2126" w:type="dxa"/>
            <w:vAlign w:val="center"/>
          </w:tcPr>
          <w:p w14:paraId="7D50E483" w14:textId="622E57F0" w:rsidR="000C1FBE" w:rsidRPr="00AF7BE6" w:rsidRDefault="0002256A" w:rsidP="00DE7BA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270</w:t>
            </w:r>
          </w:p>
        </w:tc>
        <w:tc>
          <w:tcPr>
            <w:tcW w:w="1843" w:type="dxa"/>
            <w:vAlign w:val="center"/>
          </w:tcPr>
          <w:p w14:paraId="235B6695" w14:textId="152EF8F7" w:rsidR="000C1FBE" w:rsidRPr="00AF7BE6" w:rsidRDefault="004C11C4" w:rsidP="00DE7BA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02256A" w:rsidRPr="00AF7BE6">
              <w:rPr>
                <w:rFonts w:ascii="Times New Roman" w:eastAsia="Times New Roman" w:hAnsi="Times New Roman" w:cs="Times New Roman"/>
                <w:color w:val="000000"/>
              </w:rPr>
              <w:t>2 719</w:t>
            </w:r>
          </w:p>
        </w:tc>
      </w:tr>
      <w:tr w:rsidR="005434AF" w:rsidRPr="00AF7BE6" w14:paraId="4C7919B7" w14:textId="77777777" w:rsidTr="00EA26C7">
        <w:tc>
          <w:tcPr>
            <w:tcW w:w="4644" w:type="dxa"/>
          </w:tcPr>
          <w:p w14:paraId="0639F076" w14:textId="77777777" w:rsidR="005434AF" w:rsidRPr="00AF7BE6" w:rsidRDefault="005434AF" w:rsidP="005434AF">
            <w:pPr>
              <w:jc w:val="both"/>
              <w:rPr>
                <w:rFonts w:ascii="Times New Roman" w:eastAsia="Times New Roman" w:hAnsi="Times New Roman" w:cs="Times New Roman"/>
                <w:color w:val="000000"/>
              </w:rPr>
            </w:pPr>
            <w:r w:rsidRPr="00AF7BE6">
              <w:rPr>
                <w:rFonts w:ascii="Times New Roman" w:eastAsia="Times New Roman" w:hAnsi="Times New Roman" w:cs="Times New Roman"/>
                <w:color w:val="000000"/>
              </w:rPr>
              <w:t>Готівка</w:t>
            </w:r>
          </w:p>
        </w:tc>
        <w:tc>
          <w:tcPr>
            <w:tcW w:w="1985" w:type="dxa"/>
          </w:tcPr>
          <w:p w14:paraId="77CA8766" w14:textId="1336E4AA" w:rsidR="005434AF" w:rsidRPr="00AF7BE6" w:rsidRDefault="0002256A"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w:t>
            </w:r>
          </w:p>
        </w:tc>
        <w:tc>
          <w:tcPr>
            <w:tcW w:w="2126" w:type="dxa"/>
          </w:tcPr>
          <w:p w14:paraId="2FB95E86" w14:textId="5E90041E" w:rsidR="005434AF" w:rsidRPr="00AF7BE6" w:rsidRDefault="0002256A"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6</w:t>
            </w:r>
          </w:p>
        </w:tc>
        <w:tc>
          <w:tcPr>
            <w:tcW w:w="1843" w:type="dxa"/>
          </w:tcPr>
          <w:p w14:paraId="756C07EE" w14:textId="2DF1B45D" w:rsidR="005434AF" w:rsidRPr="00AF7BE6" w:rsidRDefault="0002256A" w:rsidP="005434AF">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w:t>
            </w:r>
          </w:p>
        </w:tc>
      </w:tr>
      <w:tr w:rsidR="003A6605" w:rsidRPr="00AF7BE6" w14:paraId="60C9AE05" w14:textId="77777777" w:rsidTr="00EA26C7">
        <w:tc>
          <w:tcPr>
            <w:tcW w:w="4644" w:type="dxa"/>
          </w:tcPr>
          <w:p w14:paraId="5CDC5CD1" w14:textId="77777777" w:rsidR="003A6605" w:rsidRPr="00AF7BE6" w:rsidRDefault="003A6605" w:rsidP="005434AF">
            <w:pPr>
              <w:jc w:val="both"/>
              <w:rPr>
                <w:rFonts w:ascii="Times New Roman" w:eastAsia="Times New Roman" w:hAnsi="Times New Roman" w:cs="Times New Roman"/>
                <w:color w:val="000000"/>
              </w:rPr>
            </w:pPr>
            <w:r w:rsidRPr="00AF7BE6">
              <w:rPr>
                <w:rFonts w:ascii="Times New Roman" w:eastAsia="Times New Roman" w:hAnsi="Times New Roman" w:cs="Times New Roman"/>
                <w:color w:val="000000"/>
              </w:rPr>
              <w:t>Рахунки в банках</w:t>
            </w:r>
          </w:p>
        </w:tc>
        <w:tc>
          <w:tcPr>
            <w:tcW w:w="1985" w:type="dxa"/>
            <w:vAlign w:val="center"/>
          </w:tcPr>
          <w:p w14:paraId="0CE1A7E1" w14:textId="67CAD002" w:rsidR="003A6605" w:rsidRPr="00AF7BE6" w:rsidRDefault="0002256A" w:rsidP="005630C8">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2 987</w:t>
            </w:r>
          </w:p>
        </w:tc>
        <w:tc>
          <w:tcPr>
            <w:tcW w:w="2126" w:type="dxa"/>
            <w:vAlign w:val="center"/>
          </w:tcPr>
          <w:p w14:paraId="47F21012" w14:textId="58548120" w:rsidR="003A6605" w:rsidRPr="00AF7BE6" w:rsidRDefault="0002256A" w:rsidP="005630C8">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264</w:t>
            </w:r>
          </w:p>
        </w:tc>
        <w:tc>
          <w:tcPr>
            <w:tcW w:w="1843" w:type="dxa"/>
            <w:vAlign w:val="center"/>
          </w:tcPr>
          <w:p w14:paraId="2C5F5842" w14:textId="53273661" w:rsidR="003A6605" w:rsidRPr="00AF7BE6" w:rsidRDefault="004C11C4" w:rsidP="005630C8">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02256A" w:rsidRPr="00AF7BE6">
              <w:rPr>
                <w:rFonts w:ascii="Times New Roman" w:eastAsia="Times New Roman" w:hAnsi="Times New Roman" w:cs="Times New Roman"/>
                <w:color w:val="000000"/>
              </w:rPr>
              <w:t>2 723</w:t>
            </w:r>
          </w:p>
        </w:tc>
      </w:tr>
    </w:tbl>
    <w:p w14:paraId="04668999" w14:textId="77777777" w:rsidR="0057744B" w:rsidRPr="00AF7BE6" w:rsidRDefault="0057744B" w:rsidP="00AD7164">
      <w:pPr>
        <w:spacing w:after="0" w:line="240" w:lineRule="auto"/>
        <w:jc w:val="both"/>
        <w:rPr>
          <w:rFonts w:ascii="Times New Roman" w:eastAsia="Times New Roman" w:hAnsi="Times New Roman" w:cs="Times New Roman"/>
          <w:color w:val="000000"/>
          <w:lang w:val="uk-UA"/>
        </w:rPr>
      </w:pPr>
    </w:p>
    <w:p w14:paraId="6CB9568C" w14:textId="77777777" w:rsidR="00AD7164" w:rsidRPr="00AF7BE6" w:rsidRDefault="00AD7164" w:rsidP="00AD7164">
      <w:pPr>
        <w:tabs>
          <w:tab w:val="left" w:pos="-142"/>
        </w:tabs>
        <w:spacing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щодо поточних фінансових інвестицій</w:t>
      </w:r>
    </w:p>
    <w:p w14:paraId="1D3A19E5" w14:textId="77777777" w:rsidR="00AD7164" w:rsidRPr="00AF7BE6" w:rsidRDefault="00AD7164" w:rsidP="00AD7164">
      <w:pPr>
        <w:suppressAutoHyphens/>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Відповідно до проведеної аудиторської перевірки даних інвестиційної діяльності Підприємства, аудитор підтверджує, що станом на 31.12.20</w:t>
      </w:r>
      <w:r w:rsidR="00986644"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поточні фінансові інвестиції Товариства – відсутні. Зауважень до обліку не виявлено.</w:t>
      </w:r>
    </w:p>
    <w:p w14:paraId="5900225C" w14:textId="77777777" w:rsidR="006663CD" w:rsidRPr="00AF7BE6" w:rsidRDefault="006663CD" w:rsidP="006663CD">
      <w:pPr>
        <w:tabs>
          <w:tab w:val="left" w:pos="-142"/>
        </w:tabs>
        <w:spacing w:before="240" w:after="0" w:line="240" w:lineRule="auto"/>
        <w:ind w:firstLine="709"/>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про відображення зобов'язань і забезпечень у фінансовій звітності</w:t>
      </w:r>
    </w:p>
    <w:p w14:paraId="7532F7CA" w14:textId="77777777" w:rsidR="006663CD" w:rsidRPr="00AF7BE6" w:rsidRDefault="006663CD" w:rsidP="006663CD">
      <w:pPr>
        <w:tabs>
          <w:tab w:val="left" w:pos="-142"/>
        </w:tabs>
        <w:spacing w:after="0" w:line="240" w:lineRule="auto"/>
        <w:ind w:firstLine="709"/>
        <w:jc w:val="center"/>
        <w:rPr>
          <w:rFonts w:ascii="Times New Roman" w:eastAsia="Times New Roman" w:hAnsi="Times New Roman" w:cs="Times New Roman"/>
          <w:b/>
          <w:color w:val="000000"/>
          <w:lang w:val="uk-UA"/>
        </w:rPr>
      </w:pPr>
    </w:p>
    <w:p w14:paraId="3F58EE74" w14:textId="47398E0B" w:rsidR="00B42C06" w:rsidRPr="00AF7BE6" w:rsidRDefault="006663CD" w:rsidP="006663CD">
      <w:pPr>
        <w:spacing w:after="0" w:line="240" w:lineRule="auto"/>
        <w:ind w:firstLine="709"/>
        <w:jc w:val="both"/>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 xml:space="preserve">Бухгалтерський облік та оцінка зобов'язань здійснюється відповідно до </w:t>
      </w:r>
      <w:r w:rsidR="001B3A50" w:rsidRPr="00AF7BE6">
        <w:rPr>
          <w:rFonts w:ascii="Times New Roman" w:eastAsia="Times New Roman" w:hAnsi="Times New Roman" w:cs="Times New Roman"/>
          <w:color w:val="000000"/>
          <w:lang w:val="uk-UA"/>
        </w:rPr>
        <w:t>МСФЗ</w:t>
      </w:r>
      <w:r w:rsidR="00C34461" w:rsidRPr="00AF7BE6">
        <w:rPr>
          <w:rFonts w:ascii="Times New Roman" w:eastAsia="Times New Roman" w:hAnsi="Times New Roman" w:cs="Times New Roman"/>
          <w:color w:val="000000"/>
          <w:shd w:val="clear" w:color="auto" w:fill="FFFFFF"/>
          <w:lang w:val="uk-UA"/>
        </w:rPr>
        <w:t xml:space="preserve"> </w:t>
      </w:r>
      <w:r w:rsidRPr="00AF7BE6">
        <w:rPr>
          <w:rFonts w:ascii="Times New Roman" w:eastAsia="Times New Roman" w:hAnsi="Times New Roman" w:cs="Times New Roman"/>
          <w:color w:val="000000"/>
          <w:shd w:val="clear" w:color="auto" w:fill="FFFFFF"/>
          <w:lang w:val="uk-UA"/>
        </w:rPr>
        <w:t>та Інструкції про застосування плану рахунків бухгалтерського обліку від 30.11.99 року № 291. Реальність розміру всіх статей пасиву балансу в частині зобов'язань станом на 31.12.20</w:t>
      </w:r>
      <w:r w:rsidR="00986644" w:rsidRPr="00AF7BE6">
        <w:rPr>
          <w:rFonts w:ascii="Times New Roman" w:eastAsia="Times New Roman" w:hAnsi="Times New Roman" w:cs="Times New Roman"/>
          <w:color w:val="000000"/>
          <w:shd w:val="clear" w:color="auto" w:fill="FFFFFF"/>
          <w:lang w:val="uk-UA"/>
        </w:rPr>
        <w:t>20</w:t>
      </w:r>
      <w:r w:rsidRPr="00AF7BE6">
        <w:rPr>
          <w:rFonts w:ascii="Times New Roman" w:eastAsia="Times New Roman" w:hAnsi="Times New Roman" w:cs="Times New Roman"/>
          <w:color w:val="000000"/>
          <w:shd w:val="clear" w:color="auto" w:fill="FFFFFF"/>
          <w:lang w:val="uk-UA"/>
        </w:rPr>
        <w:t xml:space="preserve"> року, а саме</w:t>
      </w:r>
      <w:r w:rsidR="00986644" w:rsidRPr="00AF7BE6">
        <w:rPr>
          <w:rFonts w:ascii="Times New Roman" w:eastAsia="Times New Roman" w:hAnsi="Times New Roman" w:cs="Times New Roman"/>
          <w:color w:val="000000"/>
          <w:shd w:val="clear" w:color="auto" w:fill="FFFFFF"/>
          <w:lang w:val="uk-UA"/>
        </w:rPr>
        <w:t>:</w:t>
      </w:r>
      <w:r w:rsidRPr="00AF7BE6">
        <w:rPr>
          <w:rFonts w:ascii="Times New Roman" w:eastAsia="Times New Roman" w:hAnsi="Times New Roman" w:cs="Times New Roman"/>
          <w:color w:val="000000"/>
          <w:shd w:val="clear" w:color="auto" w:fill="FFFFFF"/>
          <w:lang w:val="uk-UA"/>
        </w:rPr>
        <w:t xml:space="preserve"> в ІІІ розділі "Поточні зобов'язання і забезпечення" підтверджуються актами звірки з кредиторами та даними інвентаризації, яка проведена згідно з вимогами чинного законодавства України. </w:t>
      </w:r>
    </w:p>
    <w:p w14:paraId="51C0AB89" w14:textId="16809599" w:rsidR="00AD61DC" w:rsidRPr="00AF7BE6" w:rsidRDefault="006663CD" w:rsidP="00E340F7">
      <w:pPr>
        <w:spacing w:after="0" w:line="240" w:lineRule="auto"/>
        <w:ind w:firstLine="709"/>
        <w:jc w:val="both"/>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 xml:space="preserve">Фактичні дані про зобов'язання Товариства  вірно відображені у статті балансу </w:t>
      </w:r>
      <w:r w:rsidR="00C507AB" w:rsidRPr="00AF7BE6">
        <w:rPr>
          <w:rFonts w:ascii="Times New Roman" w:eastAsia="Times New Roman" w:hAnsi="Times New Roman" w:cs="Times New Roman"/>
          <w:color w:val="000000"/>
          <w:shd w:val="clear" w:color="auto" w:fill="FFFFFF"/>
          <w:lang w:val="uk-UA"/>
        </w:rPr>
        <w:t>–</w:t>
      </w:r>
      <w:r w:rsidRPr="00AF7BE6">
        <w:rPr>
          <w:rFonts w:ascii="Times New Roman" w:eastAsia="Times New Roman" w:hAnsi="Times New Roman" w:cs="Times New Roman"/>
          <w:color w:val="000000"/>
          <w:shd w:val="clear" w:color="auto" w:fill="FFFFFF"/>
          <w:lang w:val="uk-UA"/>
        </w:rPr>
        <w:t xml:space="preserve"> </w:t>
      </w:r>
      <w:r w:rsidR="00E340F7" w:rsidRPr="00AF7BE6">
        <w:rPr>
          <w:rFonts w:ascii="Times New Roman" w:eastAsia="Times New Roman" w:hAnsi="Times New Roman" w:cs="Times New Roman"/>
          <w:color w:val="000000"/>
          <w:shd w:val="clear" w:color="auto" w:fill="FFFFFF"/>
          <w:lang w:val="uk-UA"/>
        </w:rPr>
        <w:t>довгострокові кредити банків станом на 31.12.2020 року становить - 4 276 тис. грн., інші довгострокові обов</w:t>
      </w:r>
      <w:r w:rsidR="00E340F7" w:rsidRPr="00AF7BE6">
        <w:rPr>
          <w:rFonts w:ascii="Times New Roman" w:eastAsia="Times New Roman" w:hAnsi="Times New Roman" w:cs="Times New Roman"/>
          <w:color w:val="000000"/>
          <w:shd w:val="clear" w:color="auto" w:fill="FFFFFF"/>
        </w:rPr>
        <w:t>’</w:t>
      </w:r>
      <w:r w:rsidR="00E340F7" w:rsidRPr="00AF7BE6">
        <w:rPr>
          <w:rFonts w:ascii="Times New Roman" w:eastAsia="Times New Roman" w:hAnsi="Times New Roman" w:cs="Times New Roman"/>
          <w:color w:val="000000"/>
          <w:shd w:val="clear" w:color="auto" w:fill="FFFFFF"/>
          <w:lang w:val="uk-UA"/>
        </w:rPr>
        <w:t xml:space="preserve">язаннями станом на 31.12.2020 року становлять - 14 922 тис. грн., довгострокові забезпечення станом на 31.12.2020 року становлять - 15 165 тис. грн., цільове фінансування станом на 31.12.2020 року становить - 3 тис. грн., </w:t>
      </w:r>
      <w:r w:rsidR="00B765EB" w:rsidRPr="00AF7BE6">
        <w:rPr>
          <w:rFonts w:ascii="Times New Roman" w:eastAsia="Times New Roman" w:hAnsi="Times New Roman" w:cs="Times New Roman"/>
          <w:color w:val="000000"/>
          <w:shd w:val="clear" w:color="auto" w:fill="FFFFFF"/>
          <w:lang w:val="uk-UA"/>
        </w:rPr>
        <w:t>поточна кредиторська заборгованість за довгостроковими зобов</w:t>
      </w:r>
      <w:r w:rsidR="00B765EB" w:rsidRPr="00AF7BE6">
        <w:rPr>
          <w:rFonts w:ascii="Times New Roman" w:eastAsia="Times New Roman" w:hAnsi="Times New Roman" w:cs="Times New Roman"/>
          <w:color w:val="000000"/>
          <w:shd w:val="clear" w:color="auto" w:fill="FFFFFF"/>
        </w:rPr>
        <w:t>’</w:t>
      </w:r>
      <w:r w:rsidR="00B765EB" w:rsidRPr="00AF7BE6">
        <w:rPr>
          <w:rFonts w:ascii="Times New Roman" w:eastAsia="Times New Roman" w:hAnsi="Times New Roman" w:cs="Times New Roman"/>
          <w:color w:val="000000"/>
          <w:shd w:val="clear" w:color="auto" w:fill="FFFFFF"/>
          <w:lang w:val="uk-UA"/>
        </w:rPr>
        <w:t xml:space="preserve">язаннями станом на 31.12.2020 року становить - 6 770 тис. грн.,  </w:t>
      </w:r>
      <w:r w:rsidR="00C34461" w:rsidRPr="00AF7BE6">
        <w:rPr>
          <w:rFonts w:ascii="Times New Roman" w:eastAsia="Times New Roman" w:hAnsi="Times New Roman" w:cs="Times New Roman"/>
          <w:color w:val="000000"/>
          <w:shd w:val="clear" w:color="auto" w:fill="FFFFFF"/>
          <w:lang w:val="uk-UA"/>
        </w:rPr>
        <w:t>поточна</w:t>
      </w:r>
      <w:r w:rsidR="00C507AB" w:rsidRPr="00AF7BE6">
        <w:rPr>
          <w:rFonts w:ascii="Times New Roman" w:eastAsia="Times New Roman" w:hAnsi="Times New Roman" w:cs="Times New Roman"/>
          <w:color w:val="000000"/>
          <w:shd w:val="clear" w:color="auto" w:fill="FFFFFF"/>
          <w:lang w:val="uk-UA"/>
        </w:rPr>
        <w:t xml:space="preserve"> </w:t>
      </w:r>
      <w:r w:rsidRPr="00AF7BE6">
        <w:rPr>
          <w:rFonts w:ascii="Times New Roman" w:eastAsia="Times New Roman" w:hAnsi="Times New Roman" w:cs="Times New Roman"/>
          <w:color w:val="000000"/>
          <w:shd w:val="clear" w:color="auto" w:fill="FFFFFF"/>
          <w:lang w:val="uk-UA"/>
        </w:rPr>
        <w:t xml:space="preserve">кредиторська заборгованість </w:t>
      </w:r>
      <w:r w:rsidR="00C34461" w:rsidRPr="00AF7BE6">
        <w:rPr>
          <w:rFonts w:ascii="Times New Roman" w:eastAsia="Times New Roman" w:hAnsi="Times New Roman" w:cs="Times New Roman"/>
          <w:color w:val="000000"/>
          <w:shd w:val="clear" w:color="auto" w:fill="FFFFFF"/>
          <w:lang w:val="uk-UA"/>
        </w:rPr>
        <w:t xml:space="preserve">за товари, роботи, послуги </w:t>
      </w:r>
      <w:r w:rsidRPr="00AF7BE6">
        <w:rPr>
          <w:rFonts w:ascii="Times New Roman" w:eastAsia="Times New Roman" w:hAnsi="Times New Roman" w:cs="Times New Roman"/>
          <w:color w:val="000000"/>
          <w:shd w:val="clear" w:color="auto" w:fill="FFFFFF"/>
          <w:lang w:val="uk-UA"/>
        </w:rPr>
        <w:t>станом на 31.12.20</w:t>
      </w:r>
      <w:r w:rsidR="00986644" w:rsidRPr="00AF7BE6">
        <w:rPr>
          <w:rFonts w:ascii="Times New Roman" w:eastAsia="Times New Roman" w:hAnsi="Times New Roman" w:cs="Times New Roman"/>
          <w:color w:val="000000"/>
          <w:shd w:val="clear" w:color="auto" w:fill="FFFFFF"/>
          <w:lang w:val="uk-UA"/>
        </w:rPr>
        <w:t>20</w:t>
      </w:r>
      <w:r w:rsidRPr="00AF7BE6">
        <w:rPr>
          <w:rFonts w:ascii="Times New Roman" w:eastAsia="Times New Roman" w:hAnsi="Times New Roman" w:cs="Times New Roman"/>
          <w:color w:val="000000"/>
          <w:shd w:val="clear" w:color="auto" w:fill="FFFFFF"/>
          <w:lang w:val="uk-UA"/>
        </w:rPr>
        <w:t xml:space="preserve"> року становить – </w:t>
      </w:r>
      <w:r w:rsidR="00B765EB" w:rsidRPr="00AF7BE6">
        <w:rPr>
          <w:rFonts w:ascii="Times New Roman" w:eastAsia="Times New Roman" w:hAnsi="Times New Roman" w:cs="Times New Roman"/>
          <w:color w:val="000000"/>
          <w:shd w:val="clear" w:color="auto" w:fill="FFFFFF"/>
          <w:lang w:val="uk-UA"/>
        </w:rPr>
        <w:t>32 029</w:t>
      </w:r>
      <w:r w:rsidR="00C34461" w:rsidRPr="00AF7BE6">
        <w:rPr>
          <w:rFonts w:ascii="Times New Roman" w:eastAsia="Times New Roman" w:hAnsi="Times New Roman" w:cs="Times New Roman"/>
          <w:color w:val="000000"/>
          <w:shd w:val="clear" w:color="auto" w:fill="FFFFFF"/>
          <w:lang w:val="uk-UA"/>
        </w:rPr>
        <w:t xml:space="preserve"> </w:t>
      </w:r>
      <w:r w:rsidRPr="00AF7BE6">
        <w:rPr>
          <w:rFonts w:ascii="Times New Roman" w:eastAsia="Times New Roman" w:hAnsi="Times New Roman" w:cs="Times New Roman"/>
          <w:color w:val="000000"/>
          <w:shd w:val="clear" w:color="auto" w:fill="FFFFFF"/>
          <w:lang w:val="uk-UA"/>
        </w:rPr>
        <w:t>тис</w:t>
      </w:r>
      <w:r w:rsidR="00A14C32" w:rsidRPr="00AF7BE6">
        <w:rPr>
          <w:rFonts w:ascii="Times New Roman" w:eastAsia="Times New Roman" w:hAnsi="Times New Roman" w:cs="Times New Roman"/>
          <w:color w:val="000000"/>
          <w:shd w:val="clear" w:color="auto" w:fill="FFFFFF"/>
          <w:lang w:val="uk-UA"/>
        </w:rPr>
        <w:t>.</w:t>
      </w:r>
      <w:r w:rsidRPr="00AF7BE6">
        <w:rPr>
          <w:rFonts w:ascii="Times New Roman" w:eastAsia="Times New Roman" w:hAnsi="Times New Roman" w:cs="Times New Roman"/>
          <w:color w:val="000000"/>
          <w:shd w:val="clear" w:color="auto" w:fill="FFFFFF"/>
          <w:lang w:val="uk-UA"/>
        </w:rPr>
        <w:t xml:space="preserve"> грн</w:t>
      </w:r>
      <w:r w:rsidR="00A14C32" w:rsidRPr="00AF7BE6">
        <w:rPr>
          <w:rFonts w:ascii="Times New Roman" w:eastAsia="Times New Roman" w:hAnsi="Times New Roman" w:cs="Times New Roman"/>
          <w:color w:val="000000"/>
          <w:shd w:val="clear" w:color="auto" w:fill="FFFFFF"/>
          <w:lang w:val="uk-UA"/>
        </w:rPr>
        <w:t>.</w:t>
      </w:r>
      <w:r w:rsidRPr="00AF7BE6">
        <w:rPr>
          <w:rFonts w:ascii="Times New Roman" w:eastAsia="Times New Roman" w:hAnsi="Times New Roman" w:cs="Times New Roman"/>
          <w:color w:val="000000"/>
          <w:shd w:val="clear" w:color="auto" w:fill="FFFFFF"/>
          <w:lang w:val="uk-UA"/>
        </w:rPr>
        <w:t xml:space="preserve">, </w:t>
      </w:r>
      <w:r w:rsidRPr="00AF7BE6">
        <w:rPr>
          <w:rFonts w:ascii="Times New Roman" w:eastAsia="Times New Roman" w:hAnsi="Times New Roman" w:cs="Times New Roman"/>
          <w:color w:val="000000"/>
          <w:spacing w:val="-6"/>
          <w:shd w:val="clear" w:color="auto" w:fill="FFFFFF"/>
          <w:lang w:val="uk-UA"/>
        </w:rPr>
        <w:t xml:space="preserve">поточна кредиторська заборгованість за розрахунками з бюджетом </w:t>
      </w:r>
      <w:r w:rsidR="00B42C06" w:rsidRPr="00AF7BE6">
        <w:rPr>
          <w:rFonts w:ascii="Times New Roman" w:eastAsia="Times New Roman" w:hAnsi="Times New Roman" w:cs="Times New Roman"/>
          <w:color w:val="000000"/>
          <w:spacing w:val="-6"/>
          <w:shd w:val="clear" w:color="auto" w:fill="FFFFFF"/>
          <w:lang w:val="uk-UA"/>
        </w:rPr>
        <w:t>–</w:t>
      </w:r>
      <w:r w:rsidRPr="00AF7BE6">
        <w:rPr>
          <w:rFonts w:ascii="Times New Roman" w:eastAsia="Times New Roman" w:hAnsi="Times New Roman" w:cs="Times New Roman"/>
          <w:color w:val="000000"/>
          <w:spacing w:val="-6"/>
          <w:shd w:val="clear" w:color="auto" w:fill="FFFFFF"/>
          <w:lang w:val="uk-UA"/>
        </w:rPr>
        <w:t xml:space="preserve"> </w:t>
      </w:r>
      <w:r w:rsidR="00B765EB" w:rsidRPr="00AF7BE6">
        <w:rPr>
          <w:rFonts w:ascii="Times New Roman" w:eastAsia="Times New Roman" w:hAnsi="Times New Roman" w:cs="Times New Roman"/>
          <w:color w:val="000000"/>
          <w:spacing w:val="-6"/>
          <w:shd w:val="clear" w:color="auto" w:fill="FFFFFF"/>
          <w:lang w:val="uk-UA"/>
        </w:rPr>
        <w:t>3 990</w:t>
      </w:r>
      <w:r w:rsidR="00B42C06" w:rsidRPr="00AF7BE6">
        <w:rPr>
          <w:rFonts w:ascii="Times New Roman" w:eastAsia="Times New Roman" w:hAnsi="Times New Roman" w:cs="Times New Roman"/>
          <w:color w:val="000000"/>
          <w:spacing w:val="-6"/>
          <w:shd w:val="clear" w:color="auto" w:fill="FFFFFF"/>
          <w:lang w:val="uk-UA"/>
        </w:rPr>
        <w:t xml:space="preserve"> тис</w:t>
      </w:r>
      <w:r w:rsidR="00A14C32" w:rsidRPr="00AF7BE6">
        <w:rPr>
          <w:rFonts w:ascii="Times New Roman" w:eastAsia="Times New Roman" w:hAnsi="Times New Roman" w:cs="Times New Roman"/>
          <w:color w:val="000000"/>
          <w:spacing w:val="-6"/>
          <w:shd w:val="clear" w:color="auto" w:fill="FFFFFF"/>
          <w:lang w:val="uk-UA"/>
        </w:rPr>
        <w:t>.</w:t>
      </w:r>
      <w:r w:rsidR="00B42C06" w:rsidRPr="00AF7BE6">
        <w:rPr>
          <w:rFonts w:ascii="Times New Roman" w:eastAsia="Times New Roman" w:hAnsi="Times New Roman" w:cs="Times New Roman"/>
          <w:color w:val="000000"/>
          <w:spacing w:val="-6"/>
          <w:shd w:val="clear" w:color="auto" w:fill="FFFFFF"/>
          <w:lang w:val="uk-UA"/>
        </w:rPr>
        <w:t xml:space="preserve"> грн</w:t>
      </w:r>
      <w:r w:rsidRPr="00AF7BE6">
        <w:rPr>
          <w:rFonts w:ascii="Times New Roman" w:eastAsia="Times New Roman" w:hAnsi="Times New Roman" w:cs="Times New Roman"/>
          <w:color w:val="000000"/>
          <w:spacing w:val="-6"/>
          <w:shd w:val="clear" w:color="auto" w:fill="FFFFFF"/>
          <w:lang w:val="uk-UA"/>
        </w:rPr>
        <w:t>.</w:t>
      </w:r>
      <w:r w:rsidR="00C34461" w:rsidRPr="00AF7BE6">
        <w:rPr>
          <w:rFonts w:ascii="Times New Roman" w:eastAsia="Times New Roman" w:hAnsi="Times New Roman" w:cs="Times New Roman"/>
          <w:color w:val="000000"/>
          <w:spacing w:val="-6"/>
          <w:shd w:val="clear" w:color="auto" w:fill="FFFFFF"/>
          <w:lang w:val="uk-UA"/>
        </w:rPr>
        <w:t xml:space="preserve">, поточна кредиторська заборгованість за розрахунками </w:t>
      </w:r>
      <w:r w:rsidR="003619D0" w:rsidRPr="00AF7BE6">
        <w:rPr>
          <w:rFonts w:ascii="Times New Roman" w:eastAsia="Times New Roman" w:hAnsi="Times New Roman" w:cs="Times New Roman"/>
          <w:color w:val="000000"/>
          <w:spacing w:val="-6"/>
          <w:shd w:val="clear" w:color="auto" w:fill="FFFFFF"/>
          <w:lang w:val="uk-UA"/>
        </w:rPr>
        <w:t xml:space="preserve">зі страхування </w:t>
      </w:r>
      <w:r w:rsidRPr="00AF7BE6">
        <w:rPr>
          <w:rFonts w:ascii="Times New Roman" w:eastAsia="Times New Roman" w:hAnsi="Times New Roman" w:cs="Times New Roman"/>
          <w:color w:val="000000"/>
          <w:spacing w:val="-6"/>
          <w:shd w:val="clear" w:color="auto" w:fill="FFFFFF"/>
          <w:lang w:val="uk-UA"/>
        </w:rPr>
        <w:t>–</w:t>
      </w:r>
      <w:r w:rsidR="00B42C06" w:rsidRPr="00AF7BE6">
        <w:rPr>
          <w:rFonts w:ascii="Times New Roman" w:eastAsia="Times New Roman" w:hAnsi="Times New Roman" w:cs="Times New Roman"/>
          <w:color w:val="000000"/>
          <w:spacing w:val="-6"/>
          <w:shd w:val="clear" w:color="auto" w:fill="FFFFFF"/>
          <w:lang w:val="uk-UA"/>
        </w:rPr>
        <w:t xml:space="preserve"> </w:t>
      </w:r>
      <w:r w:rsidR="00B765EB" w:rsidRPr="00AF7BE6">
        <w:rPr>
          <w:rFonts w:ascii="Times New Roman" w:eastAsia="Times New Roman" w:hAnsi="Times New Roman" w:cs="Times New Roman"/>
          <w:color w:val="000000"/>
          <w:spacing w:val="-6"/>
          <w:shd w:val="clear" w:color="auto" w:fill="FFFFFF"/>
          <w:lang w:val="uk-UA"/>
        </w:rPr>
        <w:t>475</w:t>
      </w:r>
      <w:r w:rsidR="004021FA" w:rsidRPr="00AF7BE6">
        <w:rPr>
          <w:rFonts w:ascii="Times New Roman" w:eastAsia="Times New Roman" w:hAnsi="Times New Roman" w:cs="Times New Roman"/>
          <w:color w:val="000000"/>
          <w:spacing w:val="-6"/>
          <w:shd w:val="clear" w:color="auto" w:fill="FFFFFF"/>
          <w:lang w:val="uk-UA"/>
        </w:rPr>
        <w:t xml:space="preserve"> тис</w:t>
      </w:r>
      <w:r w:rsidR="00A14C32" w:rsidRPr="00AF7BE6">
        <w:rPr>
          <w:rFonts w:ascii="Times New Roman" w:eastAsia="Times New Roman" w:hAnsi="Times New Roman" w:cs="Times New Roman"/>
          <w:color w:val="000000"/>
          <w:spacing w:val="-6"/>
          <w:shd w:val="clear" w:color="auto" w:fill="FFFFFF"/>
          <w:lang w:val="uk-UA"/>
        </w:rPr>
        <w:t>.</w:t>
      </w:r>
      <w:r w:rsidR="003619D0" w:rsidRPr="00AF7BE6">
        <w:rPr>
          <w:rFonts w:ascii="Times New Roman" w:eastAsia="Times New Roman" w:hAnsi="Times New Roman" w:cs="Times New Roman"/>
          <w:color w:val="000000"/>
          <w:spacing w:val="-6"/>
          <w:shd w:val="clear" w:color="auto" w:fill="FFFFFF"/>
          <w:lang w:val="uk-UA"/>
        </w:rPr>
        <w:t xml:space="preserve"> </w:t>
      </w:r>
      <w:r w:rsidR="004021FA" w:rsidRPr="00AF7BE6">
        <w:rPr>
          <w:rFonts w:ascii="Times New Roman" w:eastAsia="Times New Roman" w:hAnsi="Times New Roman" w:cs="Times New Roman"/>
          <w:color w:val="000000"/>
          <w:spacing w:val="-6"/>
          <w:shd w:val="clear" w:color="auto" w:fill="FFFFFF"/>
          <w:lang w:val="uk-UA"/>
        </w:rPr>
        <w:t>грн.</w:t>
      </w:r>
      <w:r w:rsidRPr="00AF7BE6">
        <w:rPr>
          <w:rFonts w:ascii="Times New Roman" w:eastAsia="Times New Roman" w:hAnsi="Times New Roman" w:cs="Times New Roman"/>
          <w:color w:val="000000"/>
          <w:spacing w:val="-6"/>
          <w:shd w:val="clear" w:color="auto" w:fill="FFFFFF"/>
          <w:lang w:val="uk-UA"/>
        </w:rPr>
        <w:t xml:space="preserve">, поточна кредиторська заборгованість за </w:t>
      </w:r>
      <w:r w:rsidR="003619D0" w:rsidRPr="00AF7BE6">
        <w:rPr>
          <w:rFonts w:ascii="Times New Roman" w:eastAsia="Times New Roman" w:hAnsi="Times New Roman" w:cs="Times New Roman"/>
          <w:color w:val="000000"/>
          <w:spacing w:val="-6"/>
          <w:shd w:val="clear" w:color="auto" w:fill="FFFFFF"/>
          <w:lang w:val="uk-UA"/>
        </w:rPr>
        <w:t xml:space="preserve">розрахунками з оплати праці </w:t>
      </w:r>
      <w:r w:rsidRPr="00AF7BE6">
        <w:rPr>
          <w:rFonts w:ascii="Times New Roman" w:eastAsia="Times New Roman" w:hAnsi="Times New Roman" w:cs="Times New Roman"/>
          <w:color w:val="000000"/>
          <w:spacing w:val="-6"/>
          <w:shd w:val="clear" w:color="auto" w:fill="FFFFFF"/>
          <w:lang w:val="uk-UA"/>
        </w:rPr>
        <w:t xml:space="preserve"> – </w:t>
      </w:r>
      <w:r w:rsidR="00B765EB" w:rsidRPr="00AF7BE6">
        <w:rPr>
          <w:rFonts w:ascii="Times New Roman" w:eastAsia="Times New Roman" w:hAnsi="Times New Roman" w:cs="Times New Roman"/>
          <w:color w:val="000000"/>
          <w:spacing w:val="-6"/>
          <w:shd w:val="clear" w:color="auto" w:fill="FFFFFF"/>
          <w:lang w:val="uk-UA"/>
        </w:rPr>
        <w:t>1 947</w:t>
      </w:r>
      <w:r w:rsidR="003619D0" w:rsidRPr="00AF7BE6">
        <w:rPr>
          <w:rFonts w:ascii="Times New Roman" w:eastAsia="Times New Roman" w:hAnsi="Times New Roman" w:cs="Times New Roman"/>
          <w:color w:val="000000"/>
          <w:spacing w:val="-6"/>
          <w:shd w:val="clear" w:color="auto" w:fill="FFFFFF"/>
          <w:lang w:val="uk-UA"/>
        </w:rPr>
        <w:t xml:space="preserve"> </w:t>
      </w:r>
      <w:r w:rsidR="00B42C06" w:rsidRPr="00AF7BE6">
        <w:rPr>
          <w:rFonts w:ascii="Times New Roman" w:eastAsia="Times New Roman" w:hAnsi="Times New Roman" w:cs="Times New Roman"/>
          <w:color w:val="000000"/>
          <w:spacing w:val="-6"/>
          <w:shd w:val="clear" w:color="auto" w:fill="FFFFFF"/>
          <w:lang w:val="uk-UA"/>
        </w:rPr>
        <w:t>тис</w:t>
      </w:r>
      <w:r w:rsidR="00A14C32" w:rsidRPr="00AF7BE6">
        <w:rPr>
          <w:rFonts w:ascii="Times New Roman" w:eastAsia="Times New Roman" w:hAnsi="Times New Roman" w:cs="Times New Roman"/>
          <w:color w:val="000000"/>
          <w:spacing w:val="-6"/>
          <w:shd w:val="clear" w:color="auto" w:fill="FFFFFF"/>
          <w:lang w:val="uk-UA"/>
        </w:rPr>
        <w:t>.</w:t>
      </w:r>
      <w:r w:rsidR="00B42C06" w:rsidRPr="00AF7BE6">
        <w:rPr>
          <w:rFonts w:ascii="Times New Roman" w:eastAsia="Times New Roman" w:hAnsi="Times New Roman" w:cs="Times New Roman"/>
          <w:color w:val="000000"/>
          <w:spacing w:val="-6"/>
          <w:shd w:val="clear" w:color="auto" w:fill="FFFFFF"/>
          <w:lang w:val="uk-UA"/>
        </w:rPr>
        <w:t xml:space="preserve"> </w:t>
      </w:r>
      <w:r w:rsidR="00C507AB" w:rsidRPr="00AF7BE6">
        <w:rPr>
          <w:rFonts w:ascii="Times New Roman" w:eastAsia="Times New Roman" w:hAnsi="Times New Roman" w:cs="Times New Roman"/>
          <w:color w:val="000000"/>
          <w:spacing w:val="-6"/>
          <w:shd w:val="clear" w:color="auto" w:fill="FFFFFF"/>
          <w:lang w:val="uk-UA"/>
        </w:rPr>
        <w:t>грн.</w:t>
      </w:r>
    </w:p>
    <w:p w14:paraId="678186FA" w14:textId="184CBC88" w:rsidR="003619D0" w:rsidRPr="00AF7BE6" w:rsidRDefault="003619D0" w:rsidP="006663CD">
      <w:pPr>
        <w:spacing w:after="0" w:line="240" w:lineRule="auto"/>
        <w:ind w:firstLine="709"/>
        <w:jc w:val="both"/>
        <w:rPr>
          <w:rFonts w:ascii="Times New Roman" w:eastAsia="Times New Roman" w:hAnsi="Times New Roman" w:cs="Times New Roman"/>
          <w:color w:val="000000"/>
          <w:spacing w:val="-6"/>
          <w:shd w:val="clear" w:color="auto" w:fill="FFFFFF"/>
          <w:lang w:val="uk-UA"/>
        </w:rPr>
      </w:pPr>
      <w:r w:rsidRPr="00AF7BE6">
        <w:rPr>
          <w:rFonts w:ascii="Times New Roman" w:eastAsia="Times New Roman" w:hAnsi="Times New Roman" w:cs="Times New Roman"/>
          <w:color w:val="000000"/>
          <w:spacing w:val="-6"/>
          <w:shd w:val="clear" w:color="auto" w:fill="FFFFFF"/>
          <w:lang w:val="uk-UA"/>
        </w:rPr>
        <w:t xml:space="preserve">Поточна кредиторська заборгованість за одержаними авансами станом на 31.12.2020 року становить – </w:t>
      </w:r>
      <w:r w:rsidR="00B765EB" w:rsidRPr="00AF7BE6">
        <w:rPr>
          <w:rFonts w:ascii="Times New Roman" w:eastAsia="Times New Roman" w:hAnsi="Times New Roman" w:cs="Times New Roman"/>
          <w:color w:val="000000"/>
          <w:spacing w:val="-6"/>
          <w:shd w:val="clear" w:color="auto" w:fill="FFFFFF"/>
          <w:lang w:val="uk-UA"/>
        </w:rPr>
        <w:t>40 603</w:t>
      </w:r>
      <w:r w:rsidRPr="00AF7BE6">
        <w:rPr>
          <w:rFonts w:ascii="Times New Roman" w:eastAsia="Times New Roman" w:hAnsi="Times New Roman" w:cs="Times New Roman"/>
          <w:color w:val="000000"/>
          <w:spacing w:val="-6"/>
          <w:shd w:val="clear" w:color="auto" w:fill="FFFFFF"/>
          <w:lang w:val="uk-UA"/>
        </w:rPr>
        <w:t xml:space="preserve"> тис</w:t>
      </w:r>
      <w:r w:rsidR="000D3B95" w:rsidRPr="00AF7BE6">
        <w:rPr>
          <w:rFonts w:ascii="Times New Roman" w:eastAsia="Times New Roman" w:hAnsi="Times New Roman" w:cs="Times New Roman"/>
          <w:color w:val="000000"/>
          <w:spacing w:val="-6"/>
          <w:shd w:val="clear" w:color="auto" w:fill="FFFFFF"/>
          <w:lang w:val="uk-UA"/>
        </w:rPr>
        <w:t>.</w:t>
      </w:r>
      <w:r w:rsidRPr="00AF7BE6">
        <w:rPr>
          <w:rFonts w:ascii="Times New Roman" w:eastAsia="Times New Roman" w:hAnsi="Times New Roman" w:cs="Times New Roman"/>
          <w:color w:val="000000"/>
          <w:spacing w:val="-6"/>
          <w:shd w:val="clear" w:color="auto" w:fill="FFFFFF"/>
          <w:lang w:val="uk-UA"/>
        </w:rPr>
        <w:t xml:space="preserve"> грн.</w:t>
      </w:r>
    </w:p>
    <w:p w14:paraId="6F240759" w14:textId="473894C1" w:rsidR="003619D0" w:rsidRPr="00AF7BE6" w:rsidRDefault="003619D0" w:rsidP="006663CD">
      <w:pPr>
        <w:spacing w:after="0" w:line="240" w:lineRule="auto"/>
        <w:ind w:firstLine="709"/>
        <w:jc w:val="both"/>
        <w:rPr>
          <w:rFonts w:ascii="Times New Roman" w:eastAsia="Times New Roman" w:hAnsi="Times New Roman" w:cs="Times New Roman"/>
          <w:color w:val="000000"/>
          <w:spacing w:val="-6"/>
          <w:shd w:val="clear" w:color="auto" w:fill="FFFFFF"/>
          <w:lang w:val="uk-UA"/>
        </w:rPr>
      </w:pPr>
      <w:r w:rsidRPr="00AF7BE6">
        <w:rPr>
          <w:rFonts w:ascii="Times New Roman" w:eastAsia="Times New Roman" w:hAnsi="Times New Roman" w:cs="Times New Roman"/>
          <w:color w:val="000000"/>
          <w:spacing w:val="-6"/>
          <w:shd w:val="clear" w:color="auto" w:fill="FFFFFF"/>
          <w:lang w:val="uk-UA"/>
        </w:rPr>
        <w:t xml:space="preserve">Поточні забезпечення станом на 31.12.2020 року становлять – </w:t>
      </w:r>
      <w:r w:rsidR="00B765EB" w:rsidRPr="00AF7BE6">
        <w:rPr>
          <w:rFonts w:ascii="Times New Roman" w:eastAsia="Times New Roman" w:hAnsi="Times New Roman" w:cs="Times New Roman"/>
          <w:color w:val="000000"/>
          <w:spacing w:val="-6"/>
          <w:shd w:val="clear" w:color="auto" w:fill="FFFFFF"/>
          <w:lang w:val="uk-UA"/>
        </w:rPr>
        <w:t>3 164</w:t>
      </w:r>
      <w:r w:rsidRPr="00AF7BE6">
        <w:rPr>
          <w:rFonts w:ascii="Times New Roman" w:eastAsia="Times New Roman" w:hAnsi="Times New Roman" w:cs="Times New Roman"/>
          <w:color w:val="000000"/>
          <w:spacing w:val="-6"/>
          <w:shd w:val="clear" w:color="auto" w:fill="FFFFFF"/>
          <w:lang w:val="uk-UA"/>
        </w:rPr>
        <w:t xml:space="preserve"> тис</w:t>
      </w:r>
      <w:r w:rsidR="000D3B95" w:rsidRPr="00AF7BE6">
        <w:rPr>
          <w:rFonts w:ascii="Times New Roman" w:eastAsia="Times New Roman" w:hAnsi="Times New Roman" w:cs="Times New Roman"/>
          <w:color w:val="000000"/>
          <w:spacing w:val="-6"/>
          <w:shd w:val="clear" w:color="auto" w:fill="FFFFFF"/>
          <w:lang w:val="uk-UA"/>
        </w:rPr>
        <w:t>.</w:t>
      </w:r>
      <w:r w:rsidRPr="00AF7BE6">
        <w:rPr>
          <w:rFonts w:ascii="Times New Roman" w:eastAsia="Times New Roman" w:hAnsi="Times New Roman" w:cs="Times New Roman"/>
          <w:color w:val="000000"/>
          <w:spacing w:val="-6"/>
          <w:shd w:val="clear" w:color="auto" w:fill="FFFFFF"/>
          <w:lang w:val="uk-UA"/>
        </w:rPr>
        <w:t xml:space="preserve"> грн.</w:t>
      </w:r>
    </w:p>
    <w:p w14:paraId="71194008" w14:textId="5C11A822" w:rsidR="006663CD" w:rsidRPr="00AF7BE6" w:rsidRDefault="006663CD" w:rsidP="00D970FB">
      <w:pPr>
        <w:spacing w:after="0" w:line="240" w:lineRule="auto"/>
        <w:ind w:firstLine="709"/>
        <w:jc w:val="both"/>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Інші поточні зобов’язання станом на 31.12.20</w:t>
      </w:r>
      <w:r w:rsidR="00986644" w:rsidRPr="00AF7BE6">
        <w:rPr>
          <w:rFonts w:ascii="Times New Roman" w:eastAsia="Times New Roman" w:hAnsi="Times New Roman" w:cs="Times New Roman"/>
          <w:color w:val="000000"/>
          <w:shd w:val="clear" w:color="auto" w:fill="FFFFFF"/>
          <w:lang w:val="uk-UA"/>
        </w:rPr>
        <w:t>20</w:t>
      </w:r>
      <w:r w:rsidRPr="00AF7BE6">
        <w:rPr>
          <w:rFonts w:ascii="Times New Roman" w:eastAsia="Times New Roman" w:hAnsi="Times New Roman" w:cs="Times New Roman"/>
          <w:color w:val="000000"/>
          <w:shd w:val="clear" w:color="auto" w:fill="FFFFFF"/>
          <w:lang w:val="uk-UA"/>
        </w:rPr>
        <w:t xml:space="preserve"> року – </w:t>
      </w:r>
      <w:r w:rsidR="00B765EB" w:rsidRPr="00AF7BE6">
        <w:rPr>
          <w:rFonts w:ascii="Times New Roman" w:eastAsia="Times New Roman" w:hAnsi="Times New Roman" w:cs="Times New Roman"/>
          <w:color w:val="000000"/>
          <w:spacing w:val="-6"/>
          <w:shd w:val="clear" w:color="auto" w:fill="FFFFFF"/>
          <w:lang w:val="uk-UA"/>
        </w:rPr>
        <w:t>1 366</w:t>
      </w:r>
      <w:r w:rsidR="000D3B95" w:rsidRPr="00AF7BE6">
        <w:rPr>
          <w:rFonts w:ascii="Times New Roman" w:eastAsia="Times New Roman" w:hAnsi="Times New Roman" w:cs="Times New Roman"/>
          <w:color w:val="000000"/>
          <w:spacing w:val="-6"/>
          <w:shd w:val="clear" w:color="auto" w:fill="FFFFFF"/>
          <w:lang w:val="uk-UA"/>
        </w:rPr>
        <w:t xml:space="preserve"> тис. грн</w:t>
      </w:r>
      <w:r w:rsidRPr="00AF7BE6">
        <w:rPr>
          <w:rFonts w:ascii="Times New Roman" w:eastAsia="Times New Roman" w:hAnsi="Times New Roman" w:cs="Times New Roman"/>
          <w:color w:val="000000"/>
          <w:shd w:val="clear" w:color="auto" w:fill="FFFFFF"/>
          <w:lang w:val="uk-UA"/>
        </w:rPr>
        <w:t xml:space="preserve">. </w:t>
      </w:r>
    </w:p>
    <w:p w14:paraId="477DC38C" w14:textId="0651885B" w:rsidR="00994EF2" w:rsidRPr="00AF7BE6" w:rsidRDefault="00994EF2" w:rsidP="00994EF2">
      <w:pPr>
        <w:spacing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Довгострокові зобов’язання і забезпечення </w:t>
      </w:r>
      <w:r w:rsidRPr="00AF7BE6">
        <w:rPr>
          <w:rFonts w:ascii="Times New Roman" w:hAnsi="Times New Roman" w:cs="Times New Roman"/>
          <w:lang w:val="uk-UA"/>
        </w:rPr>
        <w:t>Акціонерного товариства «Кременчуцьке кар’єроуправління «Кварц»</w:t>
      </w:r>
      <w:r w:rsidRPr="00AF7BE6">
        <w:rPr>
          <w:rFonts w:ascii="Times New Roman" w:eastAsia="Times New Roman" w:hAnsi="Times New Roman" w:cs="Times New Roman"/>
          <w:color w:val="000000"/>
          <w:lang w:val="uk-UA"/>
        </w:rPr>
        <w:t xml:space="preserve"> станом на 31 грудня 2020 та 2019 років представлені наступним чином:                                                                            </w:t>
      </w:r>
    </w:p>
    <w:tbl>
      <w:tblPr>
        <w:tblStyle w:val="a6"/>
        <w:tblW w:w="0" w:type="auto"/>
        <w:tblLook w:val="04A0" w:firstRow="1" w:lastRow="0" w:firstColumn="1" w:lastColumn="0" w:noHBand="0" w:noVBand="1"/>
      </w:tblPr>
      <w:tblGrid>
        <w:gridCol w:w="5211"/>
        <w:gridCol w:w="1985"/>
        <w:gridCol w:w="1843"/>
        <w:gridCol w:w="1559"/>
      </w:tblGrid>
      <w:tr w:rsidR="00994EF2" w:rsidRPr="00AF7BE6" w14:paraId="371A239B" w14:textId="77777777" w:rsidTr="00AD4B93">
        <w:tc>
          <w:tcPr>
            <w:tcW w:w="5211" w:type="dxa"/>
          </w:tcPr>
          <w:p w14:paraId="3EC3B01F" w14:textId="6369EBFA" w:rsidR="00994EF2" w:rsidRPr="00AF7BE6" w:rsidRDefault="00994EF2" w:rsidP="00AD4B93">
            <w:pPr>
              <w:jc w:val="center"/>
              <w:rPr>
                <w:rFonts w:ascii="Times New Roman" w:eastAsia="Times New Roman" w:hAnsi="Times New Roman" w:cs="Times New Roman"/>
                <w:b/>
                <w:bCs/>
                <w:color w:val="000000"/>
              </w:rPr>
            </w:pPr>
            <w:r w:rsidRPr="00AF7BE6">
              <w:rPr>
                <w:rFonts w:ascii="Times New Roman" w:eastAsia="Times New Roman" w:hAnsi="Times New Roman" w:cs="Times New Roman"/>
                <w:b/>
                <w:bCs/>
                <w:color w:val="000000"/>
              </w:rPr>
              <w:t>Довгострокові зобов’язання і забезпечення</w:t>
            </w:r>
          </w:p>
        </w:tc>
        <w:tc>
          <w:tcPr>
            <w:tcW w:w="1985" w:type="dxa"/>
          </w:tcPr>
          <w:p w14:paraId="74485C11" w14:textId="77777777" w:rsidR="00994EF2" w:rsidRPr="00AF7BE6" w:rsidRDefault="00994EF2" w:rsidP="00AD4B9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 2019 р.</w:t>
            </w:r>
          </w:p>
        </w:tc>
        <w:tc>
          <w:tcPr>
            <w:tcW w:w="1843" w:type="dxa"/>
          </w:tcPr>
          <w:p w14:paraId="1700EAF8" w14:textId="77777777" w:rsidR="00994EF2" w:rsidRPr="00AF7BE6" w:rsidRDefault="00994EF2" w:rsidP="00AD4B9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31.12.2020 р.</w:t>
            </w:r>
          </w:p>
        </w:tc>
        <w:tc>
          <w:tcPr>
            <w:tcW w:w="1559" w:type="dxa"/>
          </w:tcPr>
          <w:p w14:paraId="1942EA10" w14:textId="77777777" w:rsidR="00994EF2" w:rsidRPr="00AF7BE6" w:rsidRDefault="00994EF2" w:rsidP="00AD4B9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Зміни(+,-)</w:t>
            </w:r>
          </w:p>
        </w:tc>
      </w:tr>
      <w:tr w:rsidR="00994EF2" w:rsidRPr="00AF7BE6" w14:paraId="48F21F15" w14:textId="77777777" w:rsidTr="00A1496E">
        <w:tc>
          <w:tcPr>
            <w:tcW w:w="5211" w:type="dxa"/>
          </w:tcPr>
          <w:p w14:paraId="00D4C934" w14:textId="3EED0529" w:rsidR="00994EF2" w:rsidRPr="00AF7BE6" w:rsidRDefault="00994EF2" w:rsidP="00AD4B93">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Довгострокові кредити банків (тис. грн.)</w:t>
            </w:r>
          </w:p>
        </w:tc>
        <w:tc>
          <w:tcPr>
            <w:tcW w:w="1985" w:type="dxa"/>
            <w:vAlign w:val="center"/>
          </w:tcPr>
          <w:p w14:paraId="7E3785D6" w14:textId="297627DC"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5 717</w:t>
            </w:r>
          </w:p>
        </w:tc>
        <w:tc>
          <w:tcPr>
            <w:tcW w:w="1843" w:type="dxa"/>
            <w:vAlign w:val="center"/>
          </w:tcPr>
          <w:p w14:paraId="33165A8E" w14:textId="57C8C4AE"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4 276</w:t>
            </w:r>
          </w:p>
        </w:tc>
        <w:tc>
          <w:tcPr>
            <w:tcW w:w="1559" w:type="dxa"/>
            <w:shd w:val="clear" w:color="auto" w:fill="auto"/>
            <w:vAlign w:val="center"/>
          </w:tcPr>
          <w:p w14:paraId="7B9CC9AE" w14:textId="2A526D57" w:rsidR="00994EF2" w:rsidRPr="00AF7BE6" w:rsidRDefault="00994EF2" w:rsidP="00AD4B93">
            <w:pPr>
              <w:jc w:val="center"/>
              <w:rPr>
                <w:rFonts w:ascii="Times New Roman" w:eastAsia="Times New Roman" w:hAnsi="Times New Roman" w:cs="Times New Roman"/>
                <w:color w:val="000000"/>
                <w:lang w:val="en-US"/>
              </w:rPr>
            </w:pPr>
            <w:r w:rsidRPr="00AF7BE6">
              <w:rPr>
                <w:rFonts w:ascii="Times New Roman" w:eastAsia="Times New Roman" w:hAnsi="Times New Roman" w:cs="Times New Roman"/>
                <w:color w:val="000000"/>
              </w:rPr>
              <w:t>-</w:t>
            </w:r>
            <w:r w:rsidR="00A1496E" w:rsidRPr="00AF7BE6">
              <w:rPr>
                <w:rFonts w:ascii="Times New Roman" w:eastAsia="Times New Roman" w:hAnsi="Times New Roman" w:cs="Times New Roman"/>
                <w:color w:val="000000"/>
                <w:lang w:val="en-US"/>
              </w:rPr>
              <w:t>1 441</w:t>
            </w:r>
          </w:p>
        </w:tc>
      </w:tr>
      <w:tr w:rsidR="00994EF2" w:rsidRPr="00AF7BE6" w14:paraId="5D0689AE" w14:textId="77777777" w:rsidTr="00A1496E">
        <w:tc>
          <w:tcPr>
            <w:tcW w:w="5211" w:type="dxa"/>
          </w:tcPr>
          <w:p w14:paraId="0B9F40AC" w14:textId="60BBFC08" w:rsidR="00994EF2" w:rsidRPr="00AF7BE6" w:rsidRDefault="00994EF2" w:rsidP="00AD4B93">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Інші довгострокові обов</w:t>
            </w:r>
            <w:r w:rsidRPr="00AF7BE6">
              <w:rPr>
                <w:rFonts w:ascii="Times New Roman" w:eastAsia="Times New Roman" w:hAnsi="Times New Roman" w:cs="Times New Roman"/>
                <w:color w:val="000000"/>
                <w:shd w:val="clear" w:color="auto" w:fill="FFFFFF"/>
                <w:lang w:val="ru-RU"/>
              </w:rPr>
              <w:t>’</w:t>
            </w:r>
            <w:r w:rsidRPr="00AF7BE6">
              <w:rPr>
                <w:rFonts w:ascii="Times New Roman" w:eastAsia="Times New Roman" w:hAnsi="Times New Roman" w:cs="Times New Roman"/>
                <w:color w:val="000000"/>
                <w:shd w:val="clear" w:color="auto" w:fill="FFFFFF"/>
              </w:rPr>
              <w:t>язаннями</w:t>
            </w:r>
            <w:r w:rsidRPr="00AF7BE6">
              <w:rPr>
                <w:rFonts w:ascii="Times New Roman" w:eastAsia="Times New Roman" w:hAnsi="Times New Roman" w:cs="Times New Roman"/>
                <w:color w:val="000000"/>
              </w:rPr>
              <w:t xml:space="preserve"> (тис. грн.)</w:t>
            </w:r>
          </w:p>
        </w:tc>
        <w:tc>
          <w:tcPr>
            <w:tcW w:w="1985" w:type="dxa"/>
            <w:vAlign w:val="center"/>
          </w:tcPr>
          <w:p w14:paraId="7780CA5E" w14:textId="54E19076"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17 005</w:t>
            </w:r>
          </w:p>
        </w:tc>
        <w:tc>
          <w:tcPr>
            <w:tcW w:w="1843" w:type="dxa"/>
            <w:vAlign w:val="center"/>
          </w:tcPr>
          <w:p w14:paraId="22E067B8" w14:textId="55CDC8C3"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14 922</w:t>
            </w:r>
          </w:p>
        </w:tc>
        <w:tc>
          <w:tcPr>
            <w:tcW w:w="1559" w:type="dxa"/>
            <w:shd w:val="clear" w:color="auto" w:fill="auto"/>
            <w:vAlign w:val="center"/>
          </w:tcPr>
          <w:p w14:paraId="15F7C328" w14:textId="6C56946B" w:rsidR="00994EF2" w:rsidRPr="00AF7BE6" w:rsidRDefault="00994EF2" w:rsidP="00AD4B93">
            <w:pPr>
              <w:jc w:val="center"/>
              <w:rPr>
                <w:rFonts w:ascii="Times New Roman" w:eastAsia="Times New Roman" w:hAnsi="Times New Roman" w:cs="Times New Roman"/>
                <w:color w:val="000000"/>
                <w:lang w:val="en-US"/>
              </w:rPr>
            </w:pPr>
            <w:r w:rsidRPr="00AF7BE6">
              <w:rPr>
                <w:rFonts w:ascii="Times New Roman" w:eastAsia="Times New Roman" w:hAnsi="Times New Roman" w:cs="Times New Roman"/>
                <w:color w:val="000000"/>
              </w:rPr>
              <w:t>-</w:t>
            </w:r>
            <w:r w:rsidR="00A1496E" w:rsidRPr="00AF7BE6">
              <w:rPr>
                <w:rFonts w:ascii="Times New Roman" w:eastAsia="Times New Roman" w:hAnsi="Times New Roman" w:cs="Times New Roman"/>
                <w:color w:val="000000"/>
                <w:lang w:val="en-US"/>
              </w:rPr>
              <w:t>2 083</w:t>
            </w:r>
          </w:p>
        </w:tc>
      </w:tr>
      <w:tr w:rsidR="00994EF2" w:rsidRPr="00AF7BE6" w14:paraId="75FA9E03" w14:textId="77777777" w:rsidTr="00A1496E">
        <w:tc>
          <w:tcPr>
            <w:tcW w:w="5211" w:type="dxa"/>
          </w:tcPr>
          <w:p w14:paraId="5EDCC23C" w14:textId="5A0BB4C5"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shd w:val="clear" w:color="auto" w:fill="FFFFFF"/>
              </w:rPr>
              <w:t>Довгострокові забезпечення</w:t>
            </w:r>
            <w:r w:rsidRPr="00AF7BE6">
              <w:rPr>
                <w:rFonts w:ascii="Times New Roman" w:eastAsia="Times New Roman" w:hAnsi="Times New Roman" w:cs="Times New Roman"/>
                <w:color w:val="000000"/>
              </w:rPr>
              <w:t xml:space="preserve"> (тис. грн.)</w:t>
            </w:r>
          </w:p>
        </w:tc>
        <w:tc>
          <w:tcPr>
            <w:tcW w:w="1985" w:type="dxa"/>
            <w:vAlign w:val="center"/>
          </w:tcPr>
          <w:p w14:paraId="56145276" w14:textId="27396E42"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14 580</w:t>
            </w:r>
          </w:p>
        </w:tc>
        <w:tc>
          <w:tcPr>
            <w:tcW w:w="1843" w:type="dxa"/>
            <w:vAlign w:val="center"/>
          </w:tcPr>
          <w:p w14:paraId="64AC4A76" w14:textId="01A032AD"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15 165</w:t>
            </w:r>
          </w:p>
        </w:tc>
        <w:tc>
          <w:tcPr>
            <w:tcW w:w="1559" w:type="dxa"/>
            <w:shd w:val="clear" w:color="auto" w:fill="auto"/>
            <w:vAlign w:val="center"/>
          </w:tcPr>
          <w:p w14:paraId="40B189A7" w14:textId="1EDF3E4B" w:rsidR="00994EF2" w:rsidRPr="00AF7BE6" w:rsidRDefault="00994EF2" w:rsidP="00AD4B93">
            <w:pPr>
              <w:jc w:val="center"/>
              <w:rPr>
                <w:rFonts w:ascii="Times New Roman" w:eastAsia="Times New Roman" w:hAnsi="Times New Roman" w:cs="Times New Roman"/>
                <w:color w:val="000000"/>
                <w:lang w:val="en-US"/>
              </w:rPr>
            </w:pPr>
            <w:r w:rsidRPr="00AF7BE6">
              <w:rPr>
                <w:rFonts w:ascii="Times New Roman" w:eastAsia="Times New Roman" w:hAnsi="Times New Roman" w:cs="Times New Roman"/>
                <w:color w:val="000000"/>
              </w:rPr>
              <w:t>+</w:t>
            </w:r>
            <w:r w:rsidR="00A1496E" w:rsidRPr="00AF7BE6">
              <w:rPr>
                <w:rFonts w:ascii="Times New Roman" w:eastAsia="Times New Roman" w:hAnsi="Times New Roman" w:cs="Times New Roman"/>
                <w:color w:val="000000"/>
                <w:lang w:val="en-US"/>
              </w:rPr>
              <w:t>585</w:t>
            </w:r>
          </w:p>
        </w:tc>
      </w:tr>
      <w:tr w:rsidR="00994EF2" w:rsidRPr="00AF7BE6" w14:paraId="66FAE3DB" w14:textId="77777777" w:rsidTr="00A1496E">
        <w:tc>
          <w:tcPr>
            <w:tcW w:w="5211" w:type="dxa"/>
          </w:tcPr>
          <w:p w14:paraId="2A8CCAD5" w14:textId="17D98A32" w:rsidR="00994EF2" w:rsidRPr="00AF7BE6" w:rsidRDefault="00994EF2" w:rsidP="00AD4B93">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Цільове фінансування</w:t>
            </w:r>
            <w:r w:rsidRPr="00AF7BE6">
              <w:rPr>
                <w:rFonts w:ascii="Times New Roman" w:eastAsia="Times New Roman" w:hAnsi="Times New Roman" w:cs="Times New Roman"/>
                <w:color w:val="000000"/>
              </w:rPr>
              <w:t xml:space="preserve"> (тис. грн.)</w:t>
            </w:r>
          </w:p>
        </w:tc>
        <w:tc>
          <w:tcPr>
            <w:tcW w:w="1985" w:type="dxa"/>
            <w:vAlign w:val="center"/>
          </w:tcPr>
          <w:p w14:paraId="764E1D06" w14:textId="3C0045C9"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p>
        </w:tc>
        <w:tc>
          <w:tcPr>
            <w:tcW w:w="1843" w:type="dxa"/>
            <w:vAlign w:val="center"/>
          </w:tcPr>
          <w:p w14:paraId="2DBC729B" w14:textId="228DA7F2"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w:t>
            </w:r>
          </w:p>
        </w:tc>
        <w:tc>
          <w:tcPr>
            <w:tcW w:w="1559" w:type="dxa"/>
            <w:shd w:val="clear" w:color="auto" w:fill="auto"/>
            <w:vAlign w:val="center"/>
          </w:tcPr>
          <w:p w14:paraId="31856EDD" w14:textId="305DCEC4" w:rsidR="00994EF2" w:rsidRPr="00AF7BE6" w:rsidRDefault="00994EF2" w:rsidP="00AD4B93">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w:t>
            </w:r>
          </w:p>
        </w:tc>
      </w:tr>
      <w:tr w:rsidR="00994EF2" w:rsidRPr="00AF7BE6" w14:paraId="78BD3031" w14:textId="77777777" w:rsidTr="00A1496E">
        <w:tc>
          <w:tcPr>
            <w:tcW w:w="5211" w:type="dxa"/>
          </w:tcPr>
          <w:p w14:paraId="31E16164" w14:textId="77777777" w:rsidR="00994EF2" w:rsidRPr="00AF7BE6" w:rsidRDefault="00994EF2" w:rsidP="00AD4B9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Разом</w:t>
            </w:r>
          </w:p>
        </w:tc>
        <w:tc>
          <w:tcPr>
            <w:tcW w:w="1985" w:type="dxa"/>
          </w:tcPr>
          <w:p w14:paraId="2E6211F8" w14:textId="1E702AEB" w:rsidR="00994EF2" w:rsidRPr="00AF7BE6" w:rsidRDefault="00994EF2" w:rsidP="00AD4B9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37 302</w:t>
            </w:r>
          </w:p>
        </w:tc>
        <w:tc>
          <w:tcPr>
            <w:tcW w:w="1843" w:type="dxa"/>
          </w:tcPr>
          <w:p w14:paraId="03582C5E" w14:textId="64B00759" w:rsidR="00994EF2" w:rsidRPr="00AF7BE6" w:rsidRDefault="00994EF2" w:rsidP="00AD4B9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34 366</w:t>
            </w:r>
          </w:p>
        </w:tc>
        <w:tc>
          <w:tcPr>
            <w:tcW w:w="1559" w:type="dxa"/>
            <w:shd w:val="clear" w:color="auto" w:fill="auto"/>
          </w:tcPr>
          <w:p w14:paraId="68AABA62" w14:textId="6B05F169" w:rsidR="00994EF2" w:rsidRPr="00AF7BE6" w:rsidRDefault="00994EF2" w:rsidP="00AD4B93">
            <w:pPr>
              <w:jc w:val="center"/>
              <w:rPr>
                <w:rFonts w:ascii="Times New Roman" w:eastAsia="Times New Roman" w:hAnsi="Times New Roman" w:cs="Times New Roman"/>
                <w:b/>
                <w:color w:val="000000"/>
                <w:lang w:val="en-US"/>
              </w:rPr>
            </w:pPr>
            <w:r w:rsidRPr="00AF7BE6">
              <w:rPr>
                <w:rFonts w:ascii="Times New Roman" w:eastAsia="Times New Roman" w:hAnsi="Times New Roman" w:cs="Times New Roman"/>
                <w:b/>
                <w:color w:val="000000"/>
              </w:rPr>
              <w:t>-</w:t>
            </w:r>
            <w:r w:rsidR="00A1496E" w:rsidRPr="00AF7BE6">
              <w:rPr>
                <w:rFonts w:ascii="Times New Roman" w:eastAsia="Times New Roman" w:hAnsi="Times New Roman" w:cs="Times New Roman"/>
                <w:b/>
                <w:color w:val="000000"/>
                <w:lang w:val="en-US"/>
              </w:rPr>
              <w:t>2 936</w:t>
            </w:r>
          </w:p>
        </w:tc>
      </w:tr>
    </w:tbl>
    <w:p w14:paraId="2C6C080E" w14:textId="77777777" w:rsidR="00994EF2" w:rsidRPr="00AF7BE6" w:rsidRDefault="00994EF2" w:rsidP="00D970FB">
      <w:pPr>
        <w:spacing w:after="0" w:line="240" w:lineRule="auto"/>
        <w:ind w:firstLine="709"/>
        <w:jc w:val="both"/>
        <w:rPr>
          <w:rFonts w:ascii="Times New Roman" w:eastAsia="Times New Roman" w:hAnsi="Times New Roman" w:cs="Times New Roman"/>
          <w:color w:val="000000"/>
          <w:shd w:val="clear" w:color="auto" w:fill="FFFFFF"/>
          <w:lang w:val="uk-UA"/>
        </w:rPr>
      </w:pPr>
    </w:p>
    <w:p w14:paraId="70BA5429" w14:textId="5CF4214C" w:rsidR="006663CD" w:rsidRPr="00AF7BE6" w:rsidRDefault="006663CD" w:rsidP="006663CD">
      <w:pPr>
        <w:spacing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Поточні зобов’язання та забезпечення </w:t>
      </w:r>
      <w:r w:rsidR="008355C0" w:rsidRPr="00AF7BE6">
        <w:rPr>
          <w:rFonts w:ascii="Times New Roman" w:hAnsi="Times New Roman" w:cs="Times New Roman"/>
          <w:lang w:val="uk-UA"/>
        </w:rPr>
        <w:t>Акціонерного товариства «Кременчуцьке кар’єроуправління «Кварц»</w:t>
      </w:r>
      <w:r w:rsidR="003619D0"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станом на 31 грудня 20</w:t>
      </w:r>
      <w:r w:rsidR="000D3B95"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та 201</w:t>
      </w:r>
      <w:r w:rsidR="000D3B95" w:rsidRPr="00AF7BE6">
        <w:rPr>
          <w:rFonts w:ascii="Times New Roman" w:eastAsia="Times New Roman" w:hAnsi="Times New Roman" w:cs="Times New Roman"/>
          <w:color w:val="000000"/>
          <w:lang w:val="uk-UA"/>
        </w:rPr>
        <w:t>9</w:t>
      </w:r>
      <w:r w:rsidRPr="00AF7BE6">
        <w:rPr>
          <w:rFonts w:ascii="Times New Roman" w:eastAsia="Times New Roman" w:hAnsi="Times New Roman" w:cs="Times New Roman"/>
          <w:color w:val="000000"/>
          <w:lang w:val="uk-UA"/>
        </w:rPr>
        <w:t xml:space="preserve"> років представлені наступним чином:                                                                            </w:t>
      </w:r>
    </w:p>
    <w:tbl>
      <w:tblPr>
        <w:tblStyle w:val="a6"/>
        <w:tblW w:w="0" w:type="auto"/>
        <w:tblLook w:val="04A0" w:firstRow="1" w:lastRow="0" w:firstColumn="1" w:lastColumn="0" w:noHBand="0" w:noVBand="1"/>
      </w:tblPr>
      <w:tblGrid>
        <w:gridCol w:w="5211"/>
        <w:gridCol w:w="1985"/>
        <w:gridCol w:w="1843"/>
        <w:gridCol w:w="1559"/>
      </w:tblGrid>
      <w:tr w:rsidR="006663CD" w:rsidRPr="00AF7BE6" w14:paraId="431D2495" w14:textId="77777777" w:rsidTr="00D94C4E">
        <w:tc>
          <w:tcPr>
            <w:tcW w:w="5211" w:type="dxa"/>
          </w:tcPr>
          <w:p w14:paraId="373BA068" w14:textId="77777777" w:rsidR="006663CD" w:rsidRPr="00AF7BE6" w:rsidRDefault="006663CD" w:rsidP="00B33B0D">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Поточні зобов’язання та забезпечення</w:t>
            </w:r>
          </w:p>
        </w:tc>
        <w:tc>
          <w:tcPr>
            <w:tcW w:w="1985" w:type="dxa"/>
          </w:tcPr>
          <w:p w14:paraId="058584D6" w14:textId="36E9BC9B" w:rsidR="006663CD" w:rsidRPr="00AF7BE6" w:rsidRDefault="006663CD" w:rsidP="00986644">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31.12.201</w:t>
            </w:r>
            <w:r w:rsidR="00986644" w:rsidRPr="00AF7BE6">
              <w:rPr>
                <w:rFonts w:ascii="Times New Roman" w:eastAsia="Times New Roman" w:hAnsi="Times New Roman" w:cs="Times New Roman"/>
                <w:b/>
                <w:color w:val="000000"/>
              </w:rPr>
              <w:t>9</w:t>
            </w:r>
            <w:r w:rsidRPr="00AF7BE6">
              <w:rPr>
                <w:rFonts w:ascii="Times New Roman" w:eastAsia="Times New Roman" w:hAnsi="Times New Roman" w:cs="Times New Roman"/>
                <w:b/>
                <w:color w:val="000000"/>
              </w:rPr>
              <w:t xml:space="preserve"> р.</w:t>
            </w:r>
          </w:p>
        </w:tc>
        <w:tc>
          <w:tcPr>
            <w:tcW w:w="1843" w:type="dxa"/>
          </w:tcPr>
          <w:p w14:paraId="6E45AB0E" w14:textId="77777777" w:rsidR="006663CD" w:rsidRPr="00AF7BE6" w:rsidRDefault="006663CD" w:rsidP="00302604">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На 31.12.20</w:t>
            </w:r>
            <w:r w:rsidR="00302604" w:rsidRPr="00AF7BE6">
              <w:rPr>
                <w:rFonts w:ascii="Times New Roman" w:eastAsia="Times New Roman" w:hAnsi="Times New Roman" w:cs="Times New Roman"/>
                <w:b/>
                <w:color w:val="000000"/>
              </w:rPr>
              <w:t>20</w:t>
            </w:r>
            <w:r w:rsidRPr="00AF7BE6">
              <w:rPr>
                <w:rFonts w:ascii="Times New Roman" w:eastAsia="Times New Roman" w:hAnsi="Times New Roman" w:cs="Times New Roman"/>
                <w:b/>
                <w:color w:val="000000"/>
              </w:rPr>
              <w:t xml:space="preserve"> р.</w:t>
            </w:r>
          </w:p>
        </w:tc>
        <w:tc>
          <w:tcPr>
            <w:tcW w:w="1559" w:type="dxa"/>
          </w:tcPr>
          <w:p w14:paraId="01C02376" w14:textId="77777777" w:rsidR="006663CD" w:rsidRPr="00AF7BE6" w:rsidRDefault="006663CD" w:rsidP="00B33B0D">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Зміни(+,-)</w:t>
            </w:r>
          </w:p>
        </w:tc>
      </w:tr>
      <w:tr w:rsidR="0006630C" w:rsidRPr="00AF7BE6" w14:paraId="438020E1" w14:textId="77777777" w:rsidTr="00D94C4E">
        <w:tc>
          <w:tcPr>
            <w:tcW w:w="5211" w:type="dxa"/>
          </w:tcPr>
          <w:p w14:paraId="61B2AA5E" w14:textId="30C1E39D" w:rsidR="0006630C" w:rsidRPr="00AF7BE6" w:rsidRDefault="0006630C" w:rsidP="00B33B0D">
            <w:pPr>
              <w:jc w:val="center"/>
              <w:rPr>
                <w:rFonts w:ascii="Times New Roman" w:eastAsia="Times New Roman" w:hAnsi="Times New Roman" w:cs="Times New Roman"/>
                <w:b/>
                <w:color w:val="000000"/>
              </w:rPr>
            </w:pPr>
            <w:r w:rsidRPr="00AF7BE6">
              <w:rPr>
                <w:rFonts w:ascii="Times New Roman" w:eastAsia="Times New Roman" w:hAnsi="Times New Roman" w:cs="Times New Roman"/>
                <w:color w:val="000000"/>
                <w:shd w:val="clear" w:color="auto" w:fill="FFFFFF"/>
              </w:rPr>
              <w:lastRenderedPageBreak/>
              <w:t>Поточна кредиторська заборгованість за довгостроковими зобов’язаннями</w:t>
            </w:r>
            <w:r w:rsidR="0076716A" w:rsidRPr="00AF7BE6">
              <w:rPr>
                <w:rFonts w:ascii="Times New Roman" w:eastAsia="Times New Roman" w:hAnsi="Times New Roman" w:cs="Times New Roman"/>
                <w:color w:val="000000"/>
                <w:shd w:val="clear" w:color="auto" w:fill="FFFFFF"/>
              </w:rPr>
              <w:t xml:space="preserve"> (тис. грн.)</w:t>
            </w:r>
          </w:p>
        </w:tc>
        <w:tc>
          <w:tcPr>
            <w:tcW w:w="1985" w:type="dxa"/>
          </w:tcPr>
          <w:p w14:paraId="1E3ED0C9" w14:textId="56E00C0C" w:rsidR="0006630C" w:rsidRPr="00AF7BE6" w:rsidRDefault="00AB72CD" w:rsidP="00986644">
            <w:pPr>
              <w:jc w:val="center"/>
              <w:rPr>
                <w:rFonts w:ascii="Times New Roman" w:eastAsia="Times New Roman" w:hAnsi="Times New Roman" w:cs="Times New Roman"/>
                <w:bCs/>
                <w:color w:val="000000"/>
              </w:rPr>
            </w:pPr>
            <w:r w:rsidRPr="00AF7BE6">
              <w:rPr>
                <w:rFonts w:ascii="Times New Roman" w:eastAsia="Times New Roman" w:hAnsi="Times New Roman" w:cs="Times New Roman"/>
                <w:bCs/>
                <w:color w:val="000000"/>
              </w:rPr>
              <w:t>5 350</w:t>
            </w:r>
          </w:p>
        </w:tc>
        <w:tc>
          <w:tcPr>
            <w:tcW w:w="1843" w:type="dxa"/>
          </w:tcPr>
          <w:p w14:paraId="6ADC736D" w14:textId="6F854E12" w:rsidR="0006630C" w:rsidRPr="00AF7BE6" w:rsidRDefault="00AB72CD" w:rsidP="00302604">
            <w:pPr>
              <w:jc w:val="center"/>
              <w:rPr>
                <w:rFonts w:ascii="Times New Roman" w:eastAsia="Times New Roman" w:hAnsi="Times New Roman" w:cs="Times New Roman"/>
                <w:bCs/>
                <w:color w:val="000000"/>
              </w:rPr>
            </w:pPr>
            <w:r w:rsidRPr="00AF7BE6">
              <w:rPr>
                <w:rFonts w:ascii="Times New Roman" w:eastAsia="Times New Roman" w:hAnsi="Times New Roman" w:cs="Times New Roman"/>
                <w:bCs/>
                <w:color w:val="000000"/>
              </w:rPr>
              <w:t>6 770</w:t>
            </w:r>
          </w:p>
        </w:tc>
        <w:tc>
          <w:tcPr>
            <w:tcW w:w="1559" w:type="dxa"/>
          </w:tcPr>
          <w:p w14:paraId="26451695" w14:textId="6810F808" w:rsidR="0006630C" w:rsidRPr="00AF7BE6" w:rsidRDefault="00AB72CD" w:rsidP="00B33B0D">
            <w:pPr>
              <w:jc w:val="center"/>
              <w:rPr>
                <w:rFonts w:ascii="Times New Roman" w:eastAsia="Times New Roman" w:hAnsi="Times New Roman" w:cs="Times New Roman"/>
                <w:bCs/>
                <w:color w:val="000000"/>
              </w:rPr>
            </w:pPr>
            <w:r w:rsidRPr="00AF7BE6">
              <w:rPr>
                <w:rFonts w:ascii="Times New Roman" w:eastAsia="Times New Roman" w:hAnsi="Times New Roman" w:cs="Times New Roman"/>
                <w:bCs/>
                <w:color w:val="FF0000"/>
              </w:rPr>
              <w:t>+</w:t>
            </w:r>
          </w:p>
        </w:tc>
      </w:tr>
      <w:tr w:rsidR="00D970FB" w:rsidRPr="00AF7BE6" w14:paraId="50286DB0" w14:textId="77777777" w:rsidTr="00522541">
        <w:tc>
          <w:tcPr>
            <w:tcW w:w="5211" w:type="dxa"/>
          </w:tcPr>
          <w:p w14:paraId="5011433E" w14:textId="201D9A71" w:rsidR="00D970FB" w:rsidRPr="00AF7BE6" w:rsidRDefault="003619D0" w:rsidP="00B33B0D">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Поточна кредиторська заборгованість за товари, роботи, послуги</w:t>
            </w:r>
            <w:r w:rsidR="00295BAD" w:rsidRPr="00AF7BE6">
              <w:rPr>
                <w:rFonts w:ascii="Times New Roman" w:eastAsia="Times New Roman" w:hAnsi="Times New Roman" w:cs="Times New Roman"/>
                <w:color w:val="000000"/>
                <w:shd w:val="clear" w:color="auto" w:fill="FFFFFF"/>
                <w:lang w:val="ru-RU"/>
              </w:rPr>
              <w:t xml:space="preserve"> </w:t>
            </w:r>
            <w:r w:rsidR="00D970FB" w:rsidRPr="00AF7BE6">
              <w:rPr>
                <w:rFonts w:ascii="Times New Roman" w:eastAsia="Times New Roman" w:hAnsi="Times New Roman" w:cs="Times New Roman"/>
                <w:color w:val="000000"/>
                <w:shd w:val="clear" w:color="auto" w:fill="FFFFFF"/>
              </w:rPr>
              <w:t>(тис</w:t>
            </w:r>
            <w:r w:rsidR="00295BAD" w:rsidRPr="00AF7BE6">
              <w:rPr>
                <w:rFonts w:ascii="Times New Roman" w:eastAsia="Times New Roman" w:hAnsi="Times New Roman" w:cs="Times New Roman"/>
                <w:color w:val="000000"/>
                <w:shd w:val="clear" w:color="auto" w:fill="FFFFFF"/>
              </w:rPr>
              <w:t>.</w:t>
            </w:r>
            <w:r w:rsidR="00D970FB" w:rsidRPr="00AF7BE6">
              <w:rPr>
                <w:rFonts w:ascii="Times New Roman" w:eastAsia="Times New Roman" w:hAnsi="Times New Roman" w:cs="Times New Roman"/>
                <w:color w:val="000000"/>
                <w:shd w:val="clear" w:color="auto" w:fill="FFFFFF"/>
              </w:rPr>
              <w:t xml:space="preserve"> грн</w:t>
            </w:r>
            <w:r w:rsidR="00295BAD" w:rsidRPr="00AF7BE6">
              <w:rPr>
                <w:rFonts w:ascii="Times New Roman" w:eastAsia="Times New Roman" w:hAnsi="Times New Roman" w:cs="Times New Roman"/>
                <w:color w:val="000000"/>
                <w:shd w:val="clear" w:color="auto" w:fill="FFFFFF"/>
              </w:rPr>
              <w:t>.</w:t>
            </w:r>
            <w:r w:rsidR="00D970FB" w:rsidRPr="00AF7BE6">
              <w:rPr>
                <w:rFonts w:ascii="Times New Roman" w:eastAsia="Times New Roman" w:hAnsi="Times New Roman" w:cs="Times New Roman"/>
                <w:color w:val="000000"/>
                <w:shd w:val="clear" w:color="auto" w:fill="FFFFFF"/>
              </w:rPr>
              <w:t>)</w:t>
            </w:r>
          </w:p>
        </w:tc>
        <w:tc>
          <w:tcPr>
            <w:tcW w:w="1985" w:type="dxa"/>
            <w:shd w:val="clear" w:color="auto" w:fill="auto"/>
            <w:vAlign w:val="center"/>
          </w:tcPr>
          <w:p w14:paraId="414D8D92" w14:textId="60682C37" w:rsidR="00D970FB" w:rsidRPr="00AF7BE6" w:rsidRDefault="00332381"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25 622</w:t>
            </w:r>
          </w:p>
        </w:tc>
        <w:tc>
          <w:tcPr>
            <w:tcW w:w="1843" w:type="dxa"/>
            <w:shd w:val="clear" w:color="auto" w:fill="auto"/>
            <w:vAlign w:val="center"/>
          </w:tcPr>
          <w:p w14:paraId="573CF108" w14:textId="1DB3B4CB" w:rsidR="00D970FB" w:rsidRPr="00AF7BE6" w:rsidRDefault="00332381"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32 029</w:t>
            </w:r>
          </w:p>
        </w:tc>
        <w:tc>
          <w:tcPr>
            <w:tcW w:w="1559" w:type="dxa"/>
            <w:shd w:val="clear" w:color="auto" w:fill="auto"/>
            <w:vAlign w:val="center"/>
          </w:tcPr>
          <w:p w14:paraId="57F79553" w14:textId="6EBDC2C0" w:rsidR="00D970FB" w:rsidRPr="00AF7BE6" w:rsidRDefault="003619D0"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332381" w:rsidRPr="00AF7BE6">
              <w:rPr>
                <w:rFonts w:ascii="Times New Roman" w:eastAsia="Times New Roman" w:hAnsi="Times New Roman" w:cs="Times New Roman"/>
                <w:color w:val="000000"/>
              </w:rPr>
              <w:t>6 407</w:t>
            </w:r>
          </w:p>
        </w:tc>
      </w:tr>
      <w:tr w:rsidR="00AF06ED" w:rsidRPr="00AF7BE6" w14:paraId="265EF2C9" w14:textId="77777777" w:rsidTr="00522541">
        <w:tc>
          <w:tcPr>
            <w:tcW w:w="5211" w:type="dxa"/>
          </w:tcPr>
          <w:p w14:paraId="3A04DF4A" w14:textId="3D908CE9" w:rsidR="00AF06ED" w:rsidRPr="00AF7BE6" w:rsidRDefault="003619D0" w:rsidP="003619D0">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Поточна кредиторська заборгованість за розрахунками з бюджетом</w:t>
            </w:r>
            <w:r w:rsidRPr="00AF7BE6">
              <w:rPr>
                <w:rFonts w:ascii="Times New Roman" w:eastAsia="Times New Roman" w:hAnsi="Times New Roman" w:cs="Times New Roman"/>
                <w:color w:val="000000"/>
              </w:rPr>
              <w:t xml:space="preserve"> </w:t>
            </w:r>
            <w:r w:rsidR="00295BAD" w:rsidRPr="00AF7BE6">
              <w:rPr>
                <w:rFonts w:ascii="Times New Roman" w:eastAsia="Times New Roman" w:hAnsi="Times New Roman" w:cs="Times New Roman"/>
                <w:color w:val="000000"/>
                <w:shd w:val="clear" w:color="auto" w:fill="FFFFFF"/>
              </w:rPr>
              <w:t>(тис. грн.)</w:t>
            </w:r>
          </w:p>
        </w:tc>
        <w:tc>
          <w:tcPr>
            <w:tcW w:w="1985" w:type="dxa"/>
            <w:shd w:val="clear" w:color="auto" w:fill="auto"/>
            <w:vAlign w:val="center"/>
          </w:tcPr>
          <w:p w14:paraId="67F6F85E" w14:textId="79AD36B3" w:rsidR="00AF06ED" w:rsidRPr="00AF7BE6" w:rsidRDefault="00BF18DD"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2 855</w:t>
            </w:r>
          </w:p>
        </w:tc>
        <w:tc>
          <w:tcPr>
            <w:tcW w:w="1843" w:type="dxa"/>
            <w:shd w:val="clear" w:color="auto" w:fill="auto"/>
            <w:vAlign w:val="center"/>
          </w:tcPr>
          <w:p w14:paraId="08A309DD" w14:textId="4E991A7A" w:rsidR="00AF06ED" w:rsidRPr="00AF7BE6" w:rsidRDefault="00BF18DD"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3 990</w:t>
            </w:r>
          </w:p>
        </w:tc>
        <w:tc>
          <w:tcPr>
            <w:tcW w:w="1559" w:type="dxa"/>
            <w:shd w:val="clear" w:color="auto" w:fill="auto"/>
            <w:vAlign w:val="center"/>
          </w:tcPr>
          <w:p w14:paraId="71BE2359" w14:textId="09A5BDB7" w:rsidR="00AF06ED" w:rsidRPr="00AF7BE6" w:rsidRDefault="003619D0" w:rsidP="00D970FB">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BF18DD" w:rsidRPr="00AF7BE6">
              <w:rPr>
                <w:rFonts w:ascii="Times New Roman" w:eastAsia="Times New Roman" w:hAnsi="Times New Roman" w:cs="Times New Roman"/>
                <w:color w:val="000000"/>
              </w:rPr>
              <w:t>1 135</w:t>
            </w:r>
          </w:p>
        </w:tc>
      </w:tr>
      <w:tr w:rsidR="006663CD" w:rsidRPr="00AF7BE6" w14:paraId="441079FA" w14:textId="77777777" w:rsidTr="00522541">
        <w:tc>
          <w:tcPr>
            <w:tcW w:w="5211" w:type="dxa"/>
          </w:tcPr>
          <w:p w14:paraId="2394E0C3" w14:textId="11AB4668" w:rsidR="006663CD" w:rsidRPr="00AF7BE6" w:rsidRDefault="003619D0" w:rsidP="003619D0">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shd w:val="clear" w:color="auto" w:fill="FFFFFF"/>
              </w:rPr>
              <w:t>Поточна кредиторська заборгованість за розрахунками зі страхування</w:t>
            </w:r>
            <w:r w:rsidRPr="00AF7BE6">
              <w:rPr>
                <w:rFonts w:ascii="Times New Roman" w:eastAsia="Times New Roman" w:hAnsi="Times New Roman" w:cs="Times New Roman"/>
                <w:color w:val="000000"/>
              </w:rPr>
              <w:t xml:space="preserve"> </w:t>
            </w:r>
            <w:r w:rsidR="00295BAD" w:rsidRPr="00AF7BE6">
              <w:rPr>
                <w:rFonts w:ascii="Times New Roman" w:eastAsia="Times New Roman" w:hAnsi="Times New Roman" w:cs="Times New Roman"/>
                <w:color w:val="000000"/>
                <w:shd w:val="clear" w:color="auto" w:fill="FFFFFF"/>
              </w:rPr>
              <w:t>(тис. грн.)</w:t>
            </w:r>
          </w:p>
        </w:tc>
        <w:tc>
          <w:tcPr>
            <w:tcW w:w="1985" w:type="dxa"/>
            <w:shd w:val="clear" w:color="auto" w:fill="auto"/>
            <w:vAlign w:val="center"/>
          </w:tcPr>
          <w:p w14:paraId="217F6738" w14:textId="7CC215C1" w:rsidR="006663CD" w:rsidRPr="00AF7BE6" w:rsidRDefault="00522541"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452</w:t>
            </w:r>
          </w:p>
        </w:tc>
        <w:tc>
          <w:tcPr>
            <w:tcW w:w="1843" w:type="dxa"/>
            <w:shd w:val="clear" w:color="auto" w:fill="auto"/>
            <w:vAlign w:val="center"/>
          </w:tcPr>
          <w:p w14:paraId="2FA782AC" w14:textId="682E6EFE" w:rsidR="006663CD" w:rsidRPr="00AF7BE6" w:rsidRDefault="00522541"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475</w:t>
            </w:r>
          </w:p>
        </w:tc>
        <w:tc>
          <w:tcPr>
            <w:tcW w:w="1559" w:type="dxa"/>
            <w:shd w:val="clear" w:color="auto" w:fill="auto"/>
            <w:vAlign w:val="center"/>
          </w:tcPr>
          <w:p w14:paraId="484CC438" w14:textId="160DF32E" w:rsidR="006663CD" w:rsidRPr="00AF7BE6" w:rsidRDefault="00522541"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+23</w:t>
            </w:r>
          </w:p>
        </w:tc>
      </w:tr>
      <w:tr w:rsidR="004507E3" w:rsidRPr="00AF7BE6" w14:paraId="68ED5CC9" w14:textId="77777777" w:rsidTr="00D94C4E">
        <w:tc>
          <w:tcPr>
            <w:tcW w:w="5211" w:type="dxa"/>
          </w:tcPr>
          <w:p w14:paraId="4724394C" w14:textId="35215C37" w:rsidR="004507E3" w:rsidRPr="00AF7BE6" w:rsidRDefault="004507E3" w:rsidP="004507E3">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Поточна кредиторська заборгованість за розрахунками з оплати праці</w:t>
            </w:r>
            <w:r w:rsidRPr="00AF7BE6">
              <w:rPr>
                <w:rFonts w:ascii="Times New Roman" w:eastAsia="Times New Roman" w:hAnsi="Times New Roman" w:cs="Times New Roman"/>
                <w:color w:val="000000"/>
              </w:rPr>
              <w:t xml:space="preserve"> </w:t>
            </w:r>
            <w:r w:rsidR="00295BAD" w:rsidRPr="00AF7BE6">
              <w:rPr>
                <w:rFonts w:ascii="Times New Roman" w:eastAsia="Times New Roman" w:hAnsi="Times New Roman" w:cs="Times New Roman"/>
                <w:color w:val="000000"/>
                <w:shd w:val="clear" w:color="auto" w:fill="FFFFFF"/>
              </w:rPr>
              <w:t>(тис. грн.)</w:t>
            </w:r>
          </w:p>
        </w:tc>
        <w:tc>
          <w:tcPr>
            <w:tcW w:w="1985" w:type="dxa"/>
            <w:vAlign w:val="center"/>
          </w:tcPr>
          <w:p w14:paraId="53B6EB67" w14:textId="25C42AF8" w:rsidR="004507E3" w:rsidRPr="00AF7BE6" w:rsidRDefault="007B430A"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1 938</w:t>
            </w:r>
          </w:p>
        </w:tc>
        <w:tc>
          <w:tcPr>
            <w:tcW w:w="1843" w:type="dxa"/>
            <w:vAlign w:val="center"/>
          </w:tcPr>
          <w:p w14:paraId="2B71C39B" w14:textId="2F1D067C" w:rsidR="004507E3" w:rsidRPr="00AF7BE6" w:rsidRDefault="007B430A"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1 947</w:t>
            </w:r>
          </w:p>
        </w:tc>
        <w:tc>
          <w:tcPr>
            <w:tcW w:w="1559" w:type="dxa"/>
            <w:vAlign w:val="center"/>
          </w:tcPr>
          <w:p w14:paraId="4669EE72" w14:textId="61F596CD" w:rsidR="004507E3" w:rsidRPr="00AF7BE6" w:rsidRDefault="004507E3"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7B430A" w:rsidRPr="00AF7BE6">
              <w:rPr>
                <w:rFonts w:ascii="Times New Roman" w:eastAsia="Times New Roman" w:hAnsi="Times New Roman" w:cs="Times New Roman"/>
                <w:color w:val="000000"/>
              </w:rPr>
              <w:t>9</w:t>
            </w:r>
          </w:p>
        </w:tc>
      </w:tr>
      <w:tr w:rsidR="006663CD" w:rsidRPr="00AF7BE6" w14:paraId="3588E5C1" w14:textId="77777777" w:rsidTr="00102D55">
        <w:tc>
          <w:tcPr>
            <w:tcW w:w="5211" w:type="dxa"/>
          </w:tcPr>
          <w:p w14:paraId="750D6EE5" w14:textId="6B6265E1" w:rsidR="006663CD" w:rsidRPr="00AF7BE6" w:rsidRDefault="003619D0" w:rsidP="00AF06E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shd w:val="clear" w:color="auto" w:fill="FFFFFF"/>
              </w:rPr>
              <w:t>Поточна кредиторська заборгованість за  одержаними авансами</w:t>
            </w:r>
            <w:r w:rsidR="00295BAD" w:rsidRPr="00AF7BE6">
              <w:rPr>
                <w:rFonts w:ascii="Times New Roman" w:eastAsia="Times New Roman" w:hAnsi="Times New Roman" w:cs="Times New Roman"/>
                <w:color w:val="000000"/>
                <w:shd w:val="clear" w:color="auto" w:fill="FFFFFF"/>
              </w:rPr>
              <w:t xml:space="preserve"> (тис. грн.)</w:t>
            </w:r>
          </w:p>
        </w:tc>
        <w:tc>
          <w:tcPr>
            <w:tcW w:w="1985" w:type="dxa"/>
            <w:shd w:val="clear" w:color="auto" w:fill="auto"/>
            <w:vAlign w:val="center"/>
          </w:tcPr>
          <w:p w14:paraId="1F644C44" w14:textId="364EE90E" w:rsidR="006663CD" w:rsidRPr="00AF7BE6" w:rsidRDefault="000735BC"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34 605</w:t>
            </w:r>
          </w:p>
        </w:tc>
        <w:tc>
          <w:tcPr>
            <w:tcW w:w="1843" w:type="dxa"/>
            <w:shd w:val="clear" w:color="auto" w:fill="auto"/>
            <w:vAlign w:val="center"/>
          </w:tcPr>
          <w:p w14:paraId="65CE96F5" w14:textId="060B40AC" w:rsidR="006663CD" w:rsidRPr="00AF7BE6" w:rsidRDefault="000735BC"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40 603</w:t>
            </w:r>
          </w:p>
        </w:tc>
        <w:tc>
          <w:tcPr>
            <w:tcW w:w="1559" w:type="dxa"/>
            <w:shd w:val="clear" w:color="auto" w:fill="auto"/>
            <w:vAlign w:val="center"/>
          </w:tcPr>
          <w:p w14:paraId="41820F11" w14:textId="18F72C44" w:rsidR="006663CD" w:rsidRPr="00AF7BE6" w:rsidRDefault="000735BC"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+5 998</w:t>
            </w:r>
          </w:p>
        </w:tc>
      </w:tr>
      <w:tr w:rsidR="004507E3" w:rsidRPr="00AF7BE6" w14:paraId="050C3BCE" w14:textId="77777777" w:rsidTr="00102D55">
        <w:tc>
          <w:tcPr>
            <w:tcW w:w="5211" w:type="dxa"/>
            <w:shd w:val="clear" w:color="auto" w:fill="auto"/>
          </w:tcPr>
          <w:p w14:paraId="5FE2EA23" w14:textId="4A514DAB" w:rsidR="004507E3" w:rsidRPr="00AF7BE6" w:rsidRDefault="004507E3" w:rsidP="00AF06ED">
            <w:pPr>
              <w:jc w:val="center"/>
              <w:rPr>
                <w:rFonts w:ascii="Times New Roman" w:eastAsia="Times New Roman" w:hAnsi="Times New Roman" w:cs="Times New Roman"/>
                <w:color w:val="000000"/>
                <w:shd w:val="clear" w:color="auto" w:fill="FFFFFF"/>
              </w:rPr>
            </w:pPr>
            <w:r w:rsidRPr="00AF7BE6">
              <w:rPr>
                <w:rFonts w:ascii="Times New Roman" w:eastAsia="Times New Roman" w:hAnsi="Times New Roman" w:cs="Times New Roman"/>
                <w:color w:val="000000"/>
                <w:shd w:val="clear" w:color="auto" w:fill="FFFFFF"/>
              </w:rPr>
              <w:t>Поточні забезпечення</w:t>
            </w:r>
            <w:r w:rsidR="00295BAD" w:rsidRPr="00AF7BE6">
              <w:rPr>
                <w:rFonts w:ascii="Times New Roman" w:eastAsia="Times New Roman" w:hAnsi="Times New Roman" w:cs="Times New Roman"/>
                <w:color w:val="000000"/>
                <w:shd w:val="clear" w:color="auto" w:fill="FFFFFF"/>
              </w:rPr>
              <w:t xml:space="preserve"> (тис. грн.)</w:t>
            </w:r>
          </w:p>
        </w:tc>
        <w:tc>
          <w:tcPr>
            <w:tcW w:w="1985" w:type="dxa"/>
            <w:shd w:val="clear" w:color="auto" w:fill="auto"/>
            <w:vAlign w:val="center"/>
          </w:tcPr>
          <w:p w14:paraId="1F3D366E" w14:textId="6F436C9F" w:rsidR="004507E3" w:rsidRPr="00AF7BE6" w:rsidRDefault="00102D55"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1 775</w:t>
            </w:r>
          </w:p>
        </w:tc>
        <w:tc>
          <w:tcPr>
            <w:tcW w:w="1843" w:type="dxa"/>
            <w:shd w:val="clear" w:color="auto" w:fill="auto"/>
            <w:vAlign w:val="center"/>
          </w:tcPr>
          <w:p w14:paraId="0A5DDB27" w14:textId="362DB509" w:rsidR="004507E3" w:rsidRPr="00AF7BE6" w:rsidRDefault="00102D55"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3 164</w:t>
            </w:r>
          </w:p>
        </w:tc>
        <w:tc>
          <w:tcPr>
            <w:tcW w:w="1559" w:type="dxa"/>
            <w:shd w:val="clear" w:color="auto" w:fill="auto"/>
            <w:vAlign w:val="center"/>
          </w:tcPr>
          <w:p w14:paraId="4DAD1BB1" w14:textId="04DEA18D" w:rsidR="004507E3" w:rsidRPr="00AF7BE6" w:rsidRDefault="004507E3"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w:t>
            </w:r>
            <w:r w:rsidR="00102D55" w:rsidRPr="00AF7BE6">
              <w:rPr>
                <w:rFonts w:ascii="Times New Roman" w:eastAsia="Times New Roman" w:hAnsi="Times New Roman" w:cs="Times New Roman"/>
                <w:color w:val="000000"/>
              </w:rPr>
              <w:t>1 389</w:t>
            </w:r>
          </w:p>
        </w:tc>
      </w:tr>
      <w:tr w:rsidR="00BB361C" w:rsidRPr="00AF7BE6" w14:paraId="0651E8C3" w14:textId="77777777" w:rsidTr="00102D55">
        <w:tc>
          <w:tcPr>
            <w:tcW w:w="5211" w:type="dxa"/>
          </w:tcPr>
          <w:p w14:paraId="6CFE26C1" w14:textId="13B6A0FC" w:rsidR="00BB361C" w:rsidRPr="00AF7BE6" w:rsidRDefault="00D970FB" w:rsidP="00BB361C">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Інші поточні зобов’язання</w:t>
            </w:r>
            <w:r w:rsidR="00295BAD" w:rsidRPr="00AF7BE6">
              <w:rPr>
                <w:rFonts w:ascii="Times New Roman" w:eastAsia="Times New Roman" w:hAnsi="Times New Roman" w:cs="Times New Roman"/>
                <w:color w:val="000000"/>
              </w:rPr>
              <w:t xml:space="preserve"> </w:t>
            </w:r>
            <w:r w:rsidR="00295BAD" w:rsidRPr="00AF7BE6">
              <w:rPr>
                <w:rFonts w:ascii="Times New Roman" w:eastAsia="Times New Roman" w:hAnsi="Times New Roman" w:cs="Times New Roman"/>
                <w:color w:val="000000"/>
                <w:shd w:val="clear" w:color="auto" w:fill="FFFFFF"/>
              </w:rPr>
              <w:t>(тис. грн.)</w:t>
            </w:r>
          </w:p>
        </w:tc>
        <w:tc>
          <w:tcPr>
            <w:tcW w:w="1985" w:type="dxa"/>
            <w:shd w:val="clear" w:color="auto" w:fill="auto"/>
            <w:vAlign w:val="center"/>
          </w:tcPr>
          <w:p w14:paraId="6D219FA4" w14:textId="50B1B323" w:rsidR="00BB361C" w:rsidRPr="00AF7BE6" w:rsidRDefault="00102D55" w:rsidP="00102D55">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1 388</w:t>
            </w:r>
          </w:p>
        </w:tc>
        <w:tc>
          <w:tcPr>
            <w:tcW w:w="1843" w:type="dxa"/>
            <w:shd w:val="clear" w:color="auto" w:fill="auto"/>
            <w:vAlign w:val="center"/>
          </w:tcPr>
          <w:p w14:paraId="3DF63537" w14:textId="5954416A" w:rsidR="00BB361C" w:rsidRPr="00AF7BE6" w:rsidRDefault="00102D55" w:rsidP="00B33B0D">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000000"/>
              </w:rPr>
              <w:t>1 366</w:t>
            </w:r>
          </w:p>
        </w:tc>
        <w:tc>
          <w:tcPr>
            <w:tcW w:w="1559" w:type="dxa"/>
            <w:shd w:val="clear" w:color="auto" w:fill="auto"/>
            <w:vAlign w:val="center"/>
          </w:tcPr>
          <w:p w14:paraId="29644258" w14:textId="3C90C543" w:rsidR="00BB361C" w:rsidRPr="00AF7BE6" w:rsidRDefault="00102D55" w:rsidP="00D970FB">
            <w:pPr>
              <w:jc w:val="center"/>
              <w:rPr>
                <w:rFonts w:ascii="Times New Roman" w:eastAsia="Times New Roman" w:hAnsi="Times New Roman" w:cs="Times New Roman"/>
                <w:color w:val="000000"/>
              </w:rPr>
            </w:pPr>
            <w:r w:rsidRPr="00AF7BE6">
              <w:rPr>
                <w:rFonts w:ascii="Times New Roman" w:eastAsia="Times New Roman" w:hAnsi="Times New Roman" w:cs="Times New Roman"/>
                <w:color w:val="FF0000"/>
              </w:rPr>
              <w:t>+22</w:t>
            </w:r>
          </w:p>
        </w:tc>
      </w:tr>
      <w:tr w:rsidR="006663CD" w:rsidRPr="00AF7BE6" w14:paraId="7F93266A" w14:textId="77777777" w:rsidTr="00D94C4E">
        <w:tc>
          <w:tcPr>
            <w:tcW w:w="5211" w:type="dxa"/>
          </w:tcPr>
          <w:p w14:paraId="0F5B3C90" w14:textId="77777777" w:rsidR="006663CD" w:rsidRPr="00AF7BE6" w:rsidRDefault="006663CD" w:rsidP="00B33B0D">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Разом</w:t>
            </w:r>
          </w:p>
        </w:tc>
        <w:tc>
          <w:tcPr>
            <w:tcW w:w="1985" w:type="dxa"/>
          </w:tcPr>
          <w:p w14:paraId="3A2F0ADF" w14:textId="577DE05A" w:rsidR="006663CD" w:rsidRPr="00AF7BE6" w:rsidRDefault="00460B82" w:rsidP="004507E3">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73 985</w:t>
            </w:r>
          </w:p>
        </w:tc>
        <w:tc>
          <w:tcPr>
            <w:tcW w:w="1843" w:type="dxa"/>
          </w:tcPr>
          <w:p w14:paraId="39C0ED72" w14:textId="407F2081" w:rsidR="006663CD" w:rsidRPr="00AF7BE6" w:rsidRDefault="00460B82" w:rsidP="00B33B0D">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90 344</w:t>
            </w:r>
          </w:p>
        </w:tc>
        <w:tc>
          <w:tcPr>
            <w:tcW w:w="1559" w:type="dxa"/>
          </w:tcPr>
          <w:p w14:paraId="3961FF7D" w14:textId="13EC2A5F" w:rsidR="006663CD" w:rsidRPr="00AF7BE6" w:rsidRDefault="00460B82" w:rsidP="00DC7760">
            <w:pPr>
              <w:jc w:val="center"/>
              <w:rPr>
                <w:rFonts w:ascii="Times New Roman" w:eastAsia="Times New Roman" w:hAnsi="Times New Roman" w:cs="Times New Roman"/>
                <w:b/>
                <w:color w:val="000000"/>
              </w:rPr>
            </w:pPr>
            <w:r w:rsidRPr="00AF7BE6">
              <w:rPr>
                <w:rFonts w:ascii="Times New Roman" w:eastAsia="Times New Roman" w:hAnsi="Times New Roman" w:cs="Times New Roman"/>
                <w:b/>
                <w:color w:val="000000"/>
              </w:rPr>
              <w:t>+16 359</w:t>
            </w:r>
          </w:p>
        </w:tc>
      </w:tr>
    </w:tbl>
    <w:p w14:paraId="4B359FB3" w14:textId="77777777" w:rsidR="006663CD" w:rsidRPr="00AF7BE6" w:rsidRDefault="006663CD" w:rsidP="00AD7164">
      <w:pPr>
        <w:suppressAutoHyphens/>
        <w:spacing w:after="0" w:line="240" w:lineRule="auto"/>
        <w:ind w:firstLine="567"/>
        <w:jc w:val="both"/>
        <w:rPr>
          <w:rFonts w:ascii="Times New Roman" w:eastAsia="Times New Roman" w:hAnsi="Times New Roman" w:cs="Times New Roman"/>
          <w:color w:val="000000"/>
          <w:lang w:val="uk-UA"/>
        </w:rPr>
      </w:pPr>
    </w:p>
    <w:p w14:paraId="633C8525" w14:textId="77777777" w:rsidR="009E13A9" w:rsidRPr="00AF7BE6" w:rsidRDefault="009E13A9" w:rsidP="009E13A9">
      <w:pPr>
        <w:spacing w:after="0" w:line="240" w:lineRule="auto"/>
        <w:ind w:firstLine="709"/>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Інформація про відсутність у заявника прострочених зобов’язань щодо сплати податків (наявність/відсутність податкового боргу) та зборів</w:t>
      </w:r>
    </w:p>
    <w:p w14:paraId="23CCC498" w14:textId="77777777" w:rsidR="009E13A9" w:rsidRPr="00AF7BE6" w:rsidRDefault="009E13A9" w:rsidP="009E13A9">
      <w:pPr>
        <w:spacing w:after="0" w:line="240" w:lineRule="auto"/>
        <w:ind w:firstLine="709"/>
        <w:jc w:val="center"/>
        <w:rPr>
          <w:rFonts w:ascii="Times New Roman" w:eastAsia="Times New Roman" w:hAnsi="Times New Roman" w:cs="Times New Roman"/>
          <w:b/>
          <w:color w:val="000000"/>
          <w:lang w:val="uk-UA"/>
        </w:rPr>
      </w:pPr>
    </w:p>
    <w:p w14:paraId="019EC122" w14:textId="77777777" w:rsidR="00897E89" w:rsidRPr="00AF7BE6" w:rsidRDefault="009E13A9" w:rsidP="00202402">
      <w:pPr>
        <w:spacing w:line="240" w:lineRule="auto"/>
        <w:ind w:firstLine="709"/>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Прострочені зобов’язання щодо сплати податків та зборів не виявлено.</w:t>
      </w:r>
    </w:p>
    <w:p w14:paraId="4263D486" w14:textId="77777777" w:rsidR="0081060A" w:rsidRPr="00AF7BE6" w:rsidRDefault="0081060A" w:rsidP="002841D2">
      <w:pPr>
        <w:spacing w:after="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Інформація про наявність/відсутність у Товариства правопорушень на ринку цінних паперів</w:t>
      </w:r>
    </w:p>
    <w:p w14:paraId="0ADCE1BD" w14:textId="77777777" w:rsidR="002841D2" w:rsidRPr="00AF7BE6" w:rsidRDefault="002841D2" w:rsidP="002841D2">
      <w:pPr>
        <w:spacing w:after="0" w:line="240" w:lineRule="auto"/>
        <w:ind w:firstLine="709"/>
        <w:jc w:val="both"/>
        <w:rPr>
          <w:rFonts w:ascii="Times New Roman" w:eastAsia="Times New Roman" w:hAnsi="Times New Roman" w:cs="Times New Roman"/>
          <w:b/>
          <w:color w:val="000000"/>
          <w:lang w:val="uk-UA"/>
        </w:rPr>
      </w:pPr>
    </w:p>
    <w:p w14:paraId="56CCD26C" w14:textId="628C64E1" w:rsidR="0081060A" w:rsidRPr="00AF7BE6" w:rsidRDefault="0081060A" w:rsidP="002841D2">
      <w:pPr>
        <w:spacing w:line="240" w:lineRule="auto"/>
        <w:ind w:firstLine="709"/>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Протягом 20</w:t>
      </w:r>
      <w:r w:rsidR="00D94C4E" w:rsidRPr="00AF7BE6">
        <w:rPr>
          <w:rFonts w:ascii="Times New Roman" w:eastAsia="Times New Roman" w:hAnsi="Times New Roman" w:cs="Times New Roman"/>
          <w:lang w:val="uk-UA"/>
        </w:rPr>
        <w:t>20</w:t>
      </w:r>
      <w:r w:rsidRPr="00AF7BE6">
        <w:rPr>
          <w:rFonts w:ascii="Times New Roman" w:eastAsia="Times New Roman" w:hAnsi="Times New Roman" w:cs="Times New Roman"/>
          <w:lang w:val="uk-UA"/>
        </w:rPr>
        <w:t xml:space="preserve"> року </w:t>
      </w:r>
      <w:r w:rsidR="006620BA" w:rsidRPr="00AF7BE6">
        <w:rPr>
          <w:rFonts w:ascii="Times New Roman" w:eastAsia="Times New Roman" w:hAnsi="Times New Roman" w:cs="Times New Roman"/>
          <w:lang w:val="uk-UA"/>
        </w:rPr>
        <w:t xml:space="preserve"> не </w:t>
      </w:r>
      <w:r w:rsidRPr="00AF7BE6">
        <w:rPr>
          <w:rFonts w:ascii="Times New Roman" w:eastAsia="Times New Roman" w:hAnsi="Times New Roman" w:cs="Times New Roman"/>
          <w:lang w:val="uk-UA"/>
        </w:rPr>
        <w:t xml:space="preserve">були виявлені факти правопорушення </w:t>
      </w:r>
      <w:r w:rsidR="008355C0" w:rsidRPr="00AF7BE6">
        <w:rPr>
          <w:rFonts w:ascii="Times New Roman" w:hAnsi="Times New Roman" w:cs="Times New Roman"/>
          <w:lang w:val="uk-UA"/>
        </w:rPr>
        <w:t>Акціонерного товариства «Кременчуцьке кар’єроуправління «Кварц»</w:t>
      </w:r>
      <w:r w:rsidR="004507E3"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lang w:val="uk-UA"/>
        </w:rPr>
        <w:t>(надалі-Товариство) вимог чинного законодавства щодо розкриття</w:t>
      </w:r>
      <w:r w:rsidR="006620BA" w:rsidRPr="00AF7BE6">
        <w:rPr>
          <w:rFonts w:ascii="Times New Roman" w:eastAsia="Times New Roman" w:hAnsi="Times New Roman" w:cs="Times New Roman"/>
          <w:lang w:val="uk-UA"/>
        </w:rPr>
        <w:t xml:space="preserve"> інформації на фондовому ринку.</w:t>
      </w:r>
    </w:p>
    <w:p w14:paraId="0AB14D02" w14:textId="77777777" w:rsidR="00C83A32" w:rsidRPr="00AF7BE6" w:rsidRDefault="00C83A32" w:rsidP="00F50E7B">
      <w:pPr>
        <w:spacing w:before="240" w:line="240" w:lineRule="auto"/>
        <w:ind w:firstLine="709"/>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про статутний та власний капітал</w:t>
      </w:r>
    </w:p>
    <w:p w14:paraId="4EE3FC0D" w14:textId="77777777" w:rsidR="004507E3" w:rsidRPr="00AF7BE6" w:rsidRDefault="004507E3" w:rsidP="004507E3">
      <w:pPr>
        <w:spacing w:after="0" w:line="240" w:lineRule="auto"/>
        <w:ind w:firstLine="709"/>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Аудиторами підтверджується дотримання вимог порядку формування Статутного капіталу; правильність відображення в обліку внесків до Статутного капіталу; порядок ведення аналітичного обліку рахунку 40 „ Зареєстрований (Статутний) капітал ”. </w:t>
      </w:r>
    </w:p>
    <w:p w14:paraId="1B494CA7" w14:textId="1165F404" w:rsidR="004507E3" w:rsidRPr="00AF7BE6" w:rsidRDefault="004507E3" w:rsidP="004507E3">
      <w:pPr>
        <w:spacing w:after="0" w:line="240" w:lineRule="auto"/>
        <w:ind w:firstLine="709"/>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Відповідно до Свідоцтва про реєстрацію випуску акцій </w:t>
      </w:r>
      <w:r w:rsidR="008355C0" w:rsidRPr="00AF7BE6">
        <w:rPr>
          <w:rFonts w:ascii="Times New Roman" w:hAnsi="Times New Roman" w:cs="Times New Roman"/>
          <w:lang w:val="uk-UA"/>
        </w:rPr>
        <w:t>Акціонерне товариство «Кременчуцьке кар’єроуправління «Кварц»</w:t>
      </w:r>
      <w:r w:rsidR="00AC72FA" w:rsidRPr="00AF7BE6">
        <w:rPr>
          <w:rFonts w:ascii="Times New Roman" w:eastAsia="Times New Roman" w:hAnsi="Times New Roman" w:cs="Times New Roman"/>
          <w:lang w:val="uk-UA"/>
        </w:rPr>
        <w:t xml:space="preserve"> </w:t>
      </w:r>
      <w:r w:rsidRPr="00AF7BE6">
        <w:rPr>
          <w:rFonts w:ascii="Times New Roman" w:eastAsia="Times New Roman" w:hAnsi="Times New Roman" w:cs="Times New Roman"/>
          <w:lang w:val="uk-UA"/>
        </w:rPr>
        <w:t>№</w:t>
      </w:r>
      <w:r w:rsidR="007C1A72" w:rsidRPr="00AF7BE6">
        <w:rPr>
          <w:rFonts w:ascii="Times New Roman" w:eastAsia="Times New Roman" w:hAnsi="Times New Roman" w:cs="Times New Roman"/>
          <w:lang w:val="uk-UA"/>
        </w:rPr>
        <w:t>10/16/1/10</w:t>
      </w:r>
      <w:r w:rsidRPr="00AF7BE6">
        <w:rPr>
          <w:rFonts w:ascii="Times New Roman" w:eastAsia="Times New Roman" w:hAnsi="Times New Roman" w:cs="Times New Roman"/>
          <w:lang w:val="uk-UA"/>
        </w:rPr>
        <w:t xml:space="preserve"> від </w:t>
      </w:r>
      <w:r w:rsidR="007C1A72" w:rsidRPr="00AF7BE6">
        <w:rPr>
          <w:rFonts w:ascii="Times New Roman" w:eastAsia="Times New Roman" w:hAnsi="Times New Roman" w:cs="Times New Roman"/>
          <w:lang w:val="uk-UA"/>
        </w:rPr>
        <w:t>11</w:t>
      </w:r>
      <w:r w:rsidRPr="00AF7BE6">
        <w:rPr>
          <w:rFonts w:ascii="Times New Roman" w:eastAsia="Times New Roman" w:hAnsi="Times New Roman" w:cs="Times New Roman"/>
          <w:lang w:val="uk-UA"/>
        </w:rPr>
        <w:t xml:space="preserve"> </w:t>
      </w:r>
      <w:r w:rsidR="007C1A72" w:rsidRPr="00AF7BE6">
        <w:rPr>
          <w:rFonts w:ascii="Times New Roman" w:eastAsia="Times New Roman" w:hAnsi="Times New Roman" w:cs="Times New Roman"/>
          <w:lang w:val="uk-UA"/>
        </w:rPr>
        <w:t>червня</w:t>
      </w:r>
      <w:r w:rsidRPr="00AF7BE6">
        <w:rPr>
          <w:rFonts w:ascii="Times New Roman" w:eastAsia="Times New Roman" w:hAnsi="Times New Roman" w:cs="Times New Roman"/>
          <w:lang w:val="uk-UA"/>
        </w:rPr>
        <w:t xml:space="preserve"> 20</w:t>
      </w:r>
      <w:r w:rsidR="007C1A72" w:rsidRPr="00AF7BE6">
        <w:rPr>
          <w:rFonts w:ascii="Times New Roman" w:eastAsia="Times New Roman" w:hAnsi="Times New Roman" w:cs="Times New Roman"/>
          <w:lang w:val="uk-UA"/>
        </w:rPr>
        <w:t>10</w:t>
      </w:r>
      <w:r w:rsidRPr="00AF7BE6">
        <w:rPr>
          <w:rFonts w:ascii="Times New Roman" w:eastAsia="Times New Roman" w:hAnsi="Times New Roman" w:cs="Times New Roman"/>
          <w:lang w:val="uk-UA"/>
        </w:rPr>
        <w:t xml:space="preserve"> року: Статутний капітал Товариства складає </w:t>
      </w:r>
      <w:r w:rsidR="0003571A" w:rsidRPr="00AF7BE6">
        <w:rPr>
          <w:rFonts w:ascii="Times New Roman" w:eastAsia="Times New Roman" w:hAnsi="Times New Roman" w:cs="Times New Roman"/>
          <w:lang w:val="uk-UA"/>
        </w:rPr>
        <w:t>778 750, 00</w:t>
      </w:r>
      <w:r w:rsidRPr="00AF7BE6">
        <w:rPr>
          <w:rFonts w:ascii="Times New Roman" w:eastAsia="Times New Roman" w:hAnsi="Times New Roman" w:cs="Times New Roman"/>
          <w:lang w:val="uk-UA"/>
        </w:rPr>
        <w:t xml:space="preserve"> грн., розділений на </w:t>
      </w:r>
      <w:r w:rsidR="0003571A" w:rsidRPr="00AF7BE6">
        <w:rPr>
          <w:rFonts w:ascii="Times New Roman" w:eastAsia="Times New Roman" w:hAnsi="Times New Roman" w:cs="Times New Roman"/>
          <w:lang w:val="uk-UA"/>
        </w:rPr>
        <w:t>15575</w:t>
      </w:r>
      <w:r w:rsidRPr="00AF7BE6">
        <w:rPr>
          <w:rFonts w:ascii="Times New Roman" w:eastAsia="Times New Roman" w:hAnsi="Times New Roman" w:cs="Times New Roman"/>
          <w:lang w:val="uk-UA"/>
        </w:rPr>
        <w:t xml:space="preserve">  шт. простих іменних акцій, номінальною вартістю </w:t>
      </w:r>
      <w:r w:rsidR="0003571A" w:rsidRPr="00AF7BE6">
        <w:rPr>
          <w:rFonts w:ascii="Times New Roman" w:eastAsia="Times New Roman" w:hAnsi="Times New Roman" w:cs="Times New Roman"/>
          <w:lang w:val="uk-UA"/>
        </w:rPr>
        <w:t>50</w:t>
      </w:r>
      <w:r w:rsidRPr="00AF7BE6">
        <w:rPr>
          <w:rFonts w:ascii="Times New Roman" w:eastAsia="Times New Roman" w:hAnsi="Times New Roman" w:cs="Times New Roman"/>
          <w:lang w:val="uk-UA"/>
        </w:rPr>
        <w:t xml:space="preserve"> грн. кожна, емітованих у без документальній формі.</w:t>
      </w:r>
    </w:p>
    <w:p w14:paraId="660E528C" w14:textId="4CB82044" w:rsidR="004507E3" w:rsidRPr="00AF7BE6" w:rsidRDefault="004507E3" w:rsidP="004507E3">
      <w:pPr>
        <w:spacing w:line="240" w:lineRule="auto"/>
        <w:ind w:firstLine="709"/>
        <w:jc w:val="both"/>
        <w:rPr>
          <w:rFonts w:ascii="Times New Roman" w:eastAsia="Times New Roman" w:hAnsi="Times New Roman" w:cs="Times New Roman"/>
          <w:lang w:val="uk-UA"/>
        </w:rPr>
      </w:pPr>
      <w:r w:rsidRPr="00AF7BE6">
        <w:rPr>
          <w:rFonts w:ascii="Times New Roman" w:eastAsia="Times New Roman" w:hAnsi="Times New Roman" w:cs="Times New Roman"/>
          <w:lang w:val="uk-UA"/>
        </w:rPr>
        <w:t xml:space="preserve">Нову редакцію Статуту затверджено </w:t>
      </w:r>
      <w:r w:rsidR="0003571A" w:rsidRPr="00AF7BE6">
        <w:rPr>
          <w:rFonts w:ascii="Times New Roman" w:eastAsia="Times New Roman" w:hAnsi="Times New Roman" w:cs="Times New Roman"/>
          <w:lang w:val="uk-UA"/>
        </w:rPr>
        <w:t>на загальних зборах акціонерів Публічного акціонерного товариства «Кременчуцьке кар’єроуправління «Кварц» Протокол</w:t>
      </w:r>
      <w:r w:rsidRPr="00AF7BE6">
        <w:rPr>
          <w:rFonts w:ascii="Times New Roman" w:eastAsia="Times New Roman" w:hAnsi="Times New Roman" w:cs="Times New Roman"/>
          <w:lang w:val="uk-UA"/>
        </w:rPr>
        <w:t xml:space="preserve"> від </w:t>
      </w:r>
      <w:r w:rsidR="0003571A" w:rsidRPr="00AF7BE6">
        <w:rPr>
          <w:rFonts w:ascii="Times New Roman" w:eastAsia="Times New Roman" w:hAnsi="Times New Roman" w:cs="Times New Roman"/>
          <w:lang w:val="uk-UA"/>
        </w:rPr>
        <w:t>11</w:t>
      </w:r>
      <w:r w:rsidRPr="00AF7BE6">
        <w:rPr>
          <w:rFonts w:ascii="Times New Roman" w:eastAsia="Times New Roman" w:hAnsi="Times New Roman" w:cs="Times New Roman"/>
          <w:lang w:val="uk-UA"/>
        </w:rPr>
        <w:t>.</w:t>
      </w:r>
      <w:r w:rsidR="0003571A" w:rsidRPr="00AF7BE6">
        <w:rPr>
          <w:rFonts w:ascii="Times New Roman" w:eastAsia="Times New Roman" w:hAnsi="Times New Roman" w:cs="Times New Roman"/>
          <w:lang w:val="uk-UA"/>
        </w:rPr>
        <w:t>04</w:t>
      </w:r>
      <w:r w:rsidRPr="00AF7BE6">
        <w:rPr>
          <w:rFonts w:ascii="Times New Roman" w:eastAsia="Times New Roman" w:hAnsi="Times New Roman" w:cs="Times New Roman"/>
          <w:lang w:val="uk-UA"/>
        </w:rPr>
        <w:t>.20</w:t>
      </w:r>
      <w:r w:rsidR="0003571A" w:rsidRPr="00AF7BE6">
        <w:rPr>
          <w:rFonts w:ascii="Times New Roman" w:eastAsia="Times New Roman" w:hAnsi="Times New Roman" w:cs="Times New Roman"/>
          <w:lang w:val="uk-UA"/>
        </w:rPr>
        <w:t>18</w:t>
      </w:r>
      <w:r w:rsidRPr="00AF7BE6">
        <w:rPr>
          <w:rFonts w:ascii="Times New Roman" w:eastAsia="Times New Roman" w:hAnsi="Times New Roman" w:cs="Times New Roman"/>
          <w:lang w:val="uk-UA"/>
        </w:rPr>
        <w:t xml:space="preserve"> згідно якого прийнято рішення про зміну типу АТ з публічного на приватне.</w:t>
      </w:r>
    </w:p>
    <w:p w14:paraId="4E81A152" w14:textId="77777777" w:rsidR="00A34ED3" w:rsidRPr="00AF7BE6" w:rsidRDefault="00DB5994" w:rsidP="00A34ED3">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Станом на 31</w:t>
      </w:r>
      <w:r w:rsidR="00A34ED3"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12</w:t>
      </w:r>
      <w:r w:rsidR="00A34ED3" w:rsidRPr="00AF7BE6">
        <w:rPr>
          <w:rFonts w:ascii="Times New Roman" w:eastAsia="Times New Roman" w:hAnsi="Times New Roman" w:cs="Times New Roman"/>
          <w:color w:val="000000"/>
          <w:lang w:val="uk-UA"/>
        </w:rPr>
        <w:t>.20</w:t>
      </w:r>
      <w:r w:rsidR="005D4EDB" w:rsidRPr="00AF7BE6">
        <w:rPr>
          <w:rFonts w:ascii="Times New Roman" w:eastAsia="Times New Roman" w:hAnsi="Times New Roman" w:cs="Times New Roman"/>
          <w:color w:val="000000"/>
          <w:lang w:val="uk-UA"/>
        </w:rPr>
        <w:t>20</w:t>
      </w:r>
      <w:r w:rsidR="00A34ED3" w:rsidRPr="00AF7BE6">
        <w:rPr>
          <w:rFonts w:ascii="Times New Roman" w:eastAsia="Times New Roman" w:hAnsi="Times New Roman" w:cs="Times New Roman"/>
          <w:color w:val="000000"/>
          <w:lang w:val="uk-UA"/>
        </w:rPr>
        <w:t xml:space="preserve"> року величина зареєстрованого(пайового) капіталу згідно  з даними фінансової звітності(які аудитор підтверджує) наступна: </w:t>
      </w:r>
    </w:p>
    <w:p w14:paraId="5E16A62C" w14:textId="3A539C58" w:rsidR="00493BD6" w:rsidRPr="00AF7BE6" w:rsidRDefault="00FE0D06" w:rsidP="00493BD6">
      <w:pPr>
        <w:pStyle w:val="ae"/>
        <w:numPr>
          <w:ilvl w:val="0"/>
          <w:numId w:val="6"/>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Зареєстрований(пайовий) </w:t>
      </w:r>
      <w:r w:rsidR="00493BD6" w:rsidRPr="00AF7BE6">
        <w:rPr>
          <w:rFonts w:ascii="Times New Roman" w:eastAsia="Times New Roman" w:hAnsi="Times New Roman" w:cs="Times New Roman"/>
          <w:color w:val="000000"/>
          <w:lang w:val="uk-UA"/>
        </w:rPr>
        <w:t xml:space="preserve"> капітал – </w:t>
      </w:r>
      <w:r w:rsidR="009F0589" w:rsidRPr="00AF7BE6">
        <w:rPr>
          <w:rFonts w:ascii="Times New Roman" w:eastAsia="Times New Roman" w:hAnsi="Times New Roman" w:cs="Times New Roman"/>
          <w:color w:val="000000"/>
          <w:lang w:val="uk-UA"/>
        </w:rPr>
        <w:t xml:space="preserve">779 </w:t>
      </w:r>
      <w:r w:rsidR="00493BD6" w:rsidRPr="00AF7BE6">
        <w:rPr>
          <w:rFonts w:ascii="Times New Roman" w:eastAsia="Times New Roman" w:hAnsi="Times New Roman" w:cs="Times New Roman"/>
          <w:color w:val="000000"/>
          <w:lang w:val="uk-UA"/>
        </w:rPr>
        <w:t>тис</w:t>
      </w:r>
      <w:r w:rsidR="009F0589" w:rsidRPr="00AF7BE6">
        <w:rPr>
          <w:rFonts w:ascii="Times New Roman" w:eastAsia="Times New Roman" w:hAnsi="Times New Roman" w:cs="Times New Roman"/>
          <w:color w:val="000000"/>
          <w:lang w:val="uk-UA"/>
        </w:rPr>
        <w:t>.</w:t>
      </w:r>
      <w:r w:rsidR="00493BD6" w:rsidRPr="00AF7BE6">
        <w:rPr>
          <w:rFonts w:ascii="Times New Roman" w:eastAsia="Times New Roman" w:hAnsi="Times New Roman" w:cs="Times New Roman"/>
          <w:color w:val="000000"/>
          <w:lang w:val="uk-UA"/>
        </w:rPr>
        <w:t xml:space="preserve"> грн</w:t>
      </w:r>
      <w:r w:rsidR="009F0589" w:rsidRPr="00AF7BE6">
        <w:rPr>
          <w:rFonts w:ascii="Times New Roman" w:eastAsia="Times New Roman" w:hAnsi="Times New Roman" w:cs="Times New Roman"/>
          <w:color w:val="000000"/>
          <w:lang w:val="uk-UA"/>
        </w:rPr>
        <w:t>.</w:t>
      </w:r>
      <w:r w:rsidR="00493BD6" w:rsidRPr="00AF7BE6">
        <w:rPr>
          <w:rFonts w:ascii="Times New Roman" w:eastAsia="Times New Roman" w:hAnsi="Times New Roman" w:cs="Times New Roman"/>
          <w:color w:val="000000"/>
          <w:lang w:val="uk-UA"/>
        </w:rPr>
        <w:t>;</w:t>
      </w:r>
    </w:p>
    <w:p w14:paraId="25F1C898" w14:textId="2512610F" w:rsidR="00493BD6" w:rsidRPr="00AF7BE6" w:rsidRDefault="00493BD6" w:rsidP="00493BD6">
      <w:pPr>
        <w:pStyle w:val="ae"/>
        <w:numPr>
          <w:ilvl w:val="0"/>
          <w:numId w:val="6"/>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Сплачений статутний капітал  – </w:t>
      </w:r>
      <w:r w:rsidR="009F0589" w:rsidRPr="00AF7BE6">
        <w:rPr>
          <w:rFonts w:ascii="Times New Roman" w:eastAsia="Times New Roman" w:hAnsi="Times New Roman" w:cs="Times New Roman"/>
          <w:color w:val="000000"/>
          <w:lang w:val="uk-UA"/>
        </w:rPr>
        <w:t>779</w:t>
      </w:r>
      <w:r w:rsidR="004507E3"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тис</w:t>
      </w:r>
      <w:r w:rsidR="009F0589"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грн</w:t>
      </w:r>
      <w:r w:rsidR="009F0589"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w:t>
      </w:r>
    </w:p>
    <w:p w14:paraId="47A92431" w14:textId="77777777" w:rsidR="00493BD6" w:rsidRPr="00AF7BE6" w:rsidRDefault="00493BD6" w:rsidP="00493BD6">
      <w:pPr>
        <w:pStyle w:val="ae"/>
        <w:numPr>
          <w:ilvl w:val="0"/>
          <w:numId w:val="6"/>
        </w:numPr>
        <w:spacing w:after="0" w:line="240" w:lineRule="auto"/>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Неоплачений капітал – відсутній.</w:t>
      </w:r>
    </w:p>
    <w:p w14:paraId="3EDE55C0" w14:textId="290A3C90" w:rsidR="00493BD6" w:rsidRPr="00AF7BE6" w:rsidRDefault="00493BD6" w:rsidP="00493BD6">
      <w:pPr>
        <w:spacing w:after="0" w:line="240" w:lineRule="auto"/>
        <w:ind w:firstLine="709"/>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Станом на 31.12.20</w:t>
      </w:r>
      <w:r w:rsidR="005D4EDB"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статутний капітал Товариства сформовано та сплачено в повному обсязі, що складає </w:t>
      </w:r>
      <w:r w:rsidR="00A42820" w:rsidRPr="00AF7BE6">
        <w:rPr>
          <w:rFonts w:ascii="Times New Roman" w:eastAsia="Times New Roman" w:hAnsi="Times New Roman" w:cs="Times New Roman"/>
          <w:color w:val="000000"/>
          <w:lang w:val="uk-UA"/>
        </w:rPr>
        <w:t>779</w:t>
      </w:r>
      <w:r w:rsidR="004507E3" w:rsidRPr="00AF7BE6">
        <w:rPr>
          <w:rFonts w:ascii="Times New Roman" w:eastAsia="Times New Roman" w:hAnsi="Times New Roman" w:cs="Times New Roman"/>
          <w:color w:val="000000"/>
          <w:lang w:val="uk-UA"/>
        </w:rPr>
        <w:t xml:space="preserve"> </w:t>
      </w:r>
      <w:r w:rsidRPr="00AF7BE6">
        <w:rPr>
          <w:rFonts w:ascii="Times New Roman" w:eastAsia="Times New Roman" w:hAnsi="Times New Roman" w:cs="Times New Roman"/>
          <w:color w:val="000000"/>
          <w:lang w:val="uk-UA"/>
        </w:rPr>
        <w:t>тис</w:t>
      </w:r>
      <w:r w:rsidR="00A42820"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грн.</w:t>
      </w:r>
    </w:p>
    <w:p w14:paraId="728C7A71" w14:textId="706A52EE" w:rsidR="00B90249" w:rsidRPr="00AF7BE6" w:rsidRDefault="00493BD6" w:rsidP="00B90249">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Станом на 01.01.20</w:t>
      </w:r>
      <w:r w:rsidR="005D4EDB" w:rsidRPr="00AF7BE6">
        <w:rPr>
          <w:color w:val="000000" w:themeColor="text1"/>
          <w:sz w:val="22"/>
          <w:szCs w:val="22"/>
          <w:lang w:val="uk-UA"/>
        </w:rPr>
        <w:t>20</w:t>
      </w:r>
      <w:r w:rsidRPr="00AF7BE6">
        <w:rPr>
          <w:color w:val="000000" w:themeColor="text1"/>
          <w:sz w:val="22"/>
          <w:szCs w:val="22"/>
          <w:lang w:val="uk-UA"/>
        </w:rPr>
        <w:t xml:space="preserve"> року </w:t>
      </w:r>
      <w:r w:rsidR="00A42820" w:rsidRPr="00AF7BE6">
        <w:rPr>
          <w:color w:val="000000" w:themeColor="text1"/>
          <w:sz w:val="22"/>
          <w:szCs w:val="22"/>
          <w:lang w:val="uk-UA"/>
        </w:rPr>
        <w:t>непокритий збиток</w:t>
      </w:r>
      <w:r w:rsidRPr="00AF7BE6">
        <w:rPr>
          <w:color w:val="000000" w:themeColor="text1"/>
          <w:sz w:val="22"/>
          <w:szCs w:val="22"/>
          <w:lang w:val="uk-UA"/>
        </w:rPr>
        <w:t xml:space="preserve"> </w:t>
      </w:r>
      <w:r w:rsidR="00F858D2" w:rsidRPr="00AF7BE6">
        <w:rPr>
          <w:color w:val="000000" w:themeColor="text1"/>
          <w:sz w:val="22"/>
          <w:szCs w:val="22"/>
          <w:lang w:val="uk-UA"/>
        </w:rPr>
        <w:t xml:space="preserve">становив </w:t>
      </w:r>
      <w:r w:rsidR="00A42820" w:rsidRPr="00AF7BE6">
        <w:rPr>
          <w:color w:val="000000" w:themeColor="text1"/>
          <w:sz w:val="22"/>
          <w:szCs w:val="22"/>
          <w:lang w:val="uk-UA"/>
        </w:rPr>
        <w:t>38 947</w:t>
      </w:r>
      <w:r w:rsidRPr="00AF7BE6">
        <w:rPr>
          <w:color w:val="000000" w:themeColor="text1"/>
          <w:sz w:val="22"/>
          <w:szCs w:val="22"/>
          <w:lang w:val="uk-UA"/>
        </w:rPr>
        <w:t xml:space="preserve"> тис</w:t>
      </w:r>
      <w:r w:rsidR="00AC72FA" w:rsidRPr="00AF7BE6">
        <w:rPr>
          <w:color w:val="000000" w:themeColor="text1"/>
          <w:sz w:val="22"/>
          <w:szCs w:val="22"/>
          <w:lang w:val="uk-UA"/>
        </w:rPr>
        <w:t>.</w:t>
      </w:r>
      <w:r w:rsidRPr="00AF7BE6">
        <w:rPr>
          <w:color w:val="000000" w:themeColor="text1"/>
          <w:sz w:val="22"/>
          <w:szCs w:val="22"/>
          <w:lang w:val="uk-UA"/>
        </w:rPr>
        <w:t xml:space="preserve"> грн</w:t>
      </w:r>
      <w:r w:rsidR="00AC72FA" w:rsidRPr="00AF7BE6">
        <w:rPr>
          <w:color w:val="000000" w:themeColor="text1"/>
          <w:sz w:val="22"/>
          <w:szCs w:val="22"/>
          <w:lang w:val="uk-UA"/>
        </w:rPr>
        <w:t>.</w:t>
      </w:r>
      <w:r w:rsidRPr="00AF7BE6">
        <w:rPr>
          <w:color w:val="000000" w:themeColor="text1"/>
          <w:sz w:val="22"/>
          <w:szCs w:val="22"/>
          <w:lang w:val="uk-UA"/>
        </w:rPr>
        <w:t>, станом на 31.12.20</w:t>
      </w:r>
      <w:r w:rsidR="005D4EDB" w:rsidRPr="00AF7BE6">
        <w:rPr>
          <w:color w:val="000000" w:themeColor="text1"/>
          <w:sz w:val="22"/>
          <w:szCs w:val="22"/>
          <w:lang w:val="uk-UA"/>
        </w:rPr>
        <w:t>20</w:t>
      </w:r>
      <w:r w:rsidR="00F858D2" w:rsidRPr="00AF7BE6">
        <w:rPr>
          <w:color w:val="000000" w:themeColor="text1"/>
          <w:sz w:val="22"/>
          <w:szCs w:val="22"/>
          <w:lang w:val="uk-UA"/>
        </w:rPr>
        <w:t xml:space="preserve"> року </w:t>
      </w:r>
      <w:r w:rsidR="00A42820" w:rsidRPr="00AF7BE6">
        <w:rPr>
          <w:color w:val="000000" w:themeColor="text1"/>
          <w:sz w:val="22"/>
          <w:szCs w:val="22"/>
          <w:lang w:val="uk-UA"/>
        </w:rPr>
        <w:t xml:space="preserve">непокритий збиток </w:t>
      </w:r>
      <w:r w:rsidR="00F858D2" w:rsidRPr="00AF7BE6">
        <w:rPr>
          <w:color w:val="000000" w:themeColor="text1"/>
          <w:sz w:val="22"/>
          <w:szCs w:val="22"/>
          <w:lang w:val="uk-UA"/>
        </w:rPr>
        <w:t xml:space="preserve">становить </w:t>
      </w:r>
      <w:r w:rsidR="00A42820" w:rsidRPr="00AF7BE6">
        <w:rPr>
          <w:color w:val="000000" w:themeColor="text1"/>
          <w:sz w:val="22"/>
          <w:szCs w:val="22"/>
          <w:lang w:val="uk-UA"/>
        </w:rPr>
        <w:t>50 524</w:t>
      </w:r>
      <w:r w:rsidR="00065F81" w:rsidRPr="00AF7BE6">
        <w:rPr>
          <w:color w:val="000000" w:themeColor="text1"/>
          <w:sz w:val="22"/>
          <w:szCs w:val="22"/>
          <w:lang w:val="uk-UA"/>
        </w:rPr>
        <w:t xml:space="preserve"> </w:t>
      </w:r>
      <w:r w:rsidR="00B90249" w:rsidRPr="00AF7BE6">
        <w:rPr>
          <w:color w:val="000000" w:themeColor="text1"/>
          <w:sz w:val="22"/>
          <w:szCs w:val="22"/>
          <w:lang w:val="uk-UA"/>
        </w:rPr>
        <w:t>тис</w:t>
      </w:r>
      <w:r w:rsidR="00AC72FA" w:rsidRPr="00AF7BE6">
        <w:rPr>
          <w:color w:val="000000" w:themeColor="text1"/>
          <w:sz w:val="22"/>
          <w:szCs w:val="22"/>
          <w:lang w:val="uk-UA"/>
        </w:rPr>
        <w:t>.</w:t>
      </w:r>
      <w:r w:rsidR="00B90249" w:rsidRPr="00AF7BE6">
        <w:rPr>
          <w:color w:val="000000" w:themeColor="text1"/>
          <w:sz w:val="22"/>
          <w:szCs w:val="22"/>
          <w:lang w:val="uk-UA"/>
        </w:rPr>
        <w:t xml:space="preserve"> </w:t>
      </w:r>
      <w:r w:rsidRPr="00AF7BE6">
        <w:rPr>
          <w:color w:val="000000" w:themeColor="text1"/>
          <w:sz w:val="22"/>
          <w:szCs w:val="22"/>
          <w:lang w:val="uk-UA"/>
        </w:rPr>
        <w:t>грн.</w:t>
      </w:r>
    </w:p>
    <w:p w14:paraId="12423D23" w14:textId="77777777" w:rsidR="004507E3" w:rsidRPr="00AF7BE6" w:rsidRDefault="004507E3" w:rsidP="00B90249">
      <w:pPr>
        <w:pStyle w:val="rvps2"/>
        <w:shd w:val="clear" w:color="auto" w:fill="FFFFFF"/>
        <w:spacing w:before="0" w:beforeAutospacing="0" w:after="0" w:afterAutospacing="0"/>
        <w:ind w:firstLine="567"/>
        <w:contextualSpacing/>
        <w:jc w:val="both"/>
        <w:rPr>
          <w:color w:val="000000" w:themeColor="text1"/>
          <w:sz w:val="22"/>
          <w:szCs w:val="22"/>
          <w:lang w:val="uk-UA"/>
        </w:rPr>
      </w:pPr>
    </w:p>
    <w:p w14:paraId="12301367" w14:textId="77777777" w:rsidR="00EF5E75" w:rsidRPr="00AF7BE6" w:rsidRDefault="00EF5E75" w:rsidP="00EF5E75">
      <w:pPr>
        <w:spacing w:line="240" w:lineRule="auto"/>
        <w:jc w:val="center"/>
        <w:rPr>
          <w:rFonts w:ascii="Times New Roman" w:eastAsia="Times New Roman" w:hAnsi="Times New Roman" w:cs="Times New Roman"/>
          <w:b/>
          <w:color w:val="000000"/>
          <w:shd w:val="clear" w:color="auto" w:fill="FFFFFF"/>
          <w:lang w:val="uk-UA"/>
        </w:rPr>
      </w:pPr>
      <w:r w:rsidRPr="00AF7BE6">
        <w:rPr>
          <w:rFonts w:ascii="Times New Roman" w:eastAsia="Times New Roman" w:hAnsi="Times New Roman" w:cs="Times New Roman"/>
          <w:b/>
          <w:color w:val="000000"/>
          <w:shd w:val="clear" w:color="auto" w:fill="FFFFFF"/>
          <w:lang w:val="uk-UA"/>
        </w:rPr>
        <w:t>Структура власного капіталу Товариства:</w:t>
      </w:r>
    </w:p>
    <w:tbl>
      <w:tblPr>
        <w:tblW w:w="0" w:type="auto"/>
        <w:tblInd w:w="108" w:type="dxa"/>
        <w:tblCellMar>
          <w:left w:w="10" w:type="dxa"/>
          <w:right w:w="10" w:type="dxa"/>
        </w:tblCellMar>
        <w:tblLook w:val="0000" w:firstRow="0" w:lastRow="0" w:firstColumn="0" w:lastColumn="0" w:noHBand="0" w:noVBand="0"/>
      </w:tblPr>
      <w:tblGrid>
        <w:gridCol w:w="5103"/>
        <w:gridCol w:w="1418"/>
        <w:gridCol w:w="1984"/>
        <w:gridCol w:w="1843"/>
      </w:tblGrid>
      <w:tr w:rsidR="00EF5E75" w:rsidRPr="00AF7BE6" w14:paraId="0A9FEF1A"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505EC"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Стаття Балансу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A10EB8"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Код рядка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BE7679"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На початок звітного року, тис грн.</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3BA54"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На кінець звітного року, тис грн.</w:t>
            </w:r>
          </w:p>
        </w:tc>
      </w:tr>
      <w:tr w:rsidR="00EF5E75" w:rsidRPr="00AF7BE6" w14:paraId="3B69CC72"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46FF8" w14:textId="77777777" w:rsidR="00EF5E75" w:rsidRPr="00AF7BE6" w:rsidRDefault="00EF5E75" w:rsidP="006A62CD">
            <w:pPr>
              <w:spacing w:after="0" w:line="240" w:lineRule="auto"/>
              <w:rPr>
                <w:lang w:val="uk-UA"/>
              </w:rPr>
            </w:pPr>
            <w:r w:rsidRPr="00AF7BE6">
              <w:rPr>
                <w:rFonts w:ascii="Times New Roman" w:eastAsia="Times New Roman" w:hAnsi="Times New Roman" w:cs="Times New Roman"/>
                <w:color w:val="000000"/>
                <w:lang w:val="uk-UA"/>
              </w:rPr>
              <w:t>Зареєстрований (пайовий) капітал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68476D"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1400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8DB44" w14:textId="4E6A8269" w:rsidR="00EF5E75" w:rsidRPr="00AF7BE6" w:rsidRDefault="007E5BDB"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779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0A22A" w14:textId="21EFE9E2" w:rsidR="00EF5E75" w:rsidRPr="00AF7BE6" w:rsidRDefault="007E5BDB"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779</w:t>
            </w:r>
          </w:p>
        </w:tc>
      </w:tr>
      <w:tr w:rsidR="00EF5E75" w:rsidRPr="00AF7BE6" w14:paraId="43C8CE65"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D50B2D" w14:textId="77777777" w:rsidR="00EF5E75" w:rsidRPr="00AF7BE6" w:rsidRDefault="00EF5E75" w:rsidP="006A62CD">
            <w:pPr>
              <w:spacing w:after="0" w:line="240" w:lineRule="auto"/>
              <w:rPr>
                <w:lang w:val="uk-UA"/>
              </w:rPr>
            </w:pPr>
            <w:r w:rsidRPr="00AF7BE6">
              <w:rPr>
                <w:rFonts w:ascii="Times New Roman" w:eastAsia="Times New Roman" w:hAnsi="Times New Roman" w:cs="Times New Roman"/>
                <w:color w:val="000000"/>
                <w:lang w:val="uk-UA"/>
              </w:rPr>
              <w:t>Внески до незареєстрованого статутного капіталу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AAE6A"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1401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1F606" w14:textId="77777777" w:rsidR="00EF5E75" w:rsidRPr="00AF7BE6" w:rsidRDefault="004507E3"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7EBAC" w14:textId="77777777" w:rsidR="00EF5E75" w:rsidRPr="00AF7BE6" w:rsidRDefault="004507E3"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r>
      <w:tr w:rsidR="00EF5E75" w:rsidRPr="00AF7BE6" w14:paraId="2A829EF1"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2D947" w14:textId="77777777" w:rsidR="00EF5E75" w:rsidRPr="00AF7BE6" w:rsidRDefault="00EF5E75" w:rsidP="006A62CD">
            <w:pPr>
              <w:spacing w:after="0" w:line="240" w:lineRule="auto"/>
              <w:rPr>
                <w:lang w:val="uk-UA"/>
              </w:rPr>
            </w:pPr>
            <w:r w:rsidRPr="00AF7BE6">
              <w:rPr>
                <w:rFonts w:ascii="Times New Roman" w:eastAsia="Times New Roman" w:hAnsi="Times New Roman" w:cs="Times New Roman"/>
                <w:color w:val="000000"/>
                <w:lang w:val="uk-UA"/>
              </w:rPr>
              <w:t>Капітал у дооцінках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63170" w14:textId="77777777" w:rsidR="00EF5E75" w:rsidRPr="00AF7BE6" w:rsidRDefault="00EF5E75" w:rsidP="006A62CD">
            <w:pPr>
              <w:spacing w:after="0" w:line="240" w:lineRule="auto"/>
              <w:jc w:val="center"/>
              <w:rPr>
                <w:lang w:val="uk-UA"/>
              </w:rPr>
            </w:pPr>
            <w:r w:rsidRPr="00AF7BE6">
              <w:rPr>
                <w:rFonts w:ascii="Times New Roman" w:eastAsia="Times New Roman" w:hAnsi="Times New Roman" w:cs="Times New Roman"/>
                <w:color w:val="000000"/>
                <w:lang w:val="uk-UA"/>
              </w:rPr>
              <w:t>1405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537BD1" w14:textId="0388B451" w:rsidR="00EF5E75" w:rsidRPr="00AF7BE6" w:rsidRDefault="007E5BDB"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1CA81" w14:textId="21358CF9" w:rsidR="00EF5E75" w:rsidRPr="00AF7BE6" w:rsidRDefault="007E5BDB"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r>
      <w:tr w:rsidR="004507E3" w:rsidRPr="00AF7BE6" w14:paraId="53070DA1"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8427D"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Додатковий капітал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BBA56D"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1410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635B7" w14:textId="758A23F5" w:rsidR="004507E3" w:rsidRPr="00AF7BE6" w:rsidRDefault="004507E3" w:rsidP="00AD4B93">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r w:rsidR="007E5BDB" w:rsidRPr="00AF7BE6">
              <w:rPr>
                <w:rFonts w:ascii="Times New Roman" w:hAnsi="Times New Roman" w:cs="Times New Roman"/>
                <w:lang w:val="uk-UA"/>
              </w:rPr>
              <w:t xml:space="preserve"> 7 463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795B5" w14:textId="04874937" w:rsidR="004507E3" w:rsidRPr="00AF7BE6" w:rsidRDefault="004507E3" w:rsidP="00AD4B93">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r w:rsidR="007E5BDB" w:rsidRPr="00AF7BE6">
              <w:rPr>
                <w:rFonts w:ascii="Times New Roman" w:hAnsi="Times New Roman" w:cs="Times New Roman"/>
                <w:lang w:val="uk-UA"/>
              </w:rPr>
              <w:t xml:space="preserve"> 7 458</w:t>
            </w:r>
          </w:p>
        </w:tc>
      </w:tr>
      <w:tr w:rsidR="004507E3" w:rsidRPr="00AF7BE6" w14:paraId="30ABFCE9"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2C143"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Емісійний дохід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DD1723"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D4D7D" w14:textId="77777777" w:rsidR="004507E3" w:rsidRPr="00AF7BE6" w:rsidRDefault="004507E3" w:rsidP="00AD4B93">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22A1F5" w14:textId="77777777" w:rsidR="004507E3" w:rsidRPr="00AF7BE6" w:rsidRDefault="004507E3" w:rsidP="00AD4B93">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r>
      <w:tr w:rsidR="004507E3" w:rsidRPr="00AF7BE6" w14:paraId="1D58551F"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2465E"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lastRenderedPageBreak/>
              <w:t>Накопичені курсові різниці</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2682D"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1412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0372FE" w14:textId="77777777" w:rsidR="004507E3" w:rsidRPr="00AF7BE6" w:rsidRDefault="004507E3" w:rsidP="00AD4B93">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F62A7" w14:textId="77777777" w:rsidR="004507E3" w:rsidRPr="00AF7BE6" w:rsidRDefault="004507E3" w:rsidP="00AD4B93">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w:t>
            </w:r>
          </w:p>
        </w:tc>
      </w:tr>
      <w:tr w:rsidR="004507E3" w:rsidRPr="00AF7BE6" w14:paraId="29446D0B" w14:textId="77777777" w:rsidTr="005D4EDB">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63F6E"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Резервний капітал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C4F81"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1415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2DAF6" w14:textId="5A4A426D" w:rsidR="004507E3" w:rsidRPr="00AF7BE6" w:rsidRDefault="007E5BDB"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117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6D3B5" w14:textId="7F406B8F" w:rsidR="004507E3" w:rsidRPr="00AF7BE6" w:rsidRDefault="007E5BDB" w:rsidP="006A62CD">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117</w:t>
            </w:r>
          </w:p>
        </w:tc>
      </w:tr>
      <w:tr w:rsidR="004507E3" w:rsidRPr="00AF7BE6" w14:paraId="24507218" w14:textId="77777777" w:rsidTr="005D4EDB">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811DE"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Нерозподілений прибуток(непокритий збиток)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24771"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1420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2B9310" w14:textId="2D77ACFD" w:rsidR="004507E3" w:rsidRPr="00AF7BE6" w:rsidRDefault="007E5BDB" w:rsidP="006A1E84">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(38 947)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5C4EC" w14:textId="4428E6AD" w:rsidR="004507E3" w:rsidRPr="00AF7BE6" w:rsidRDefault="007E5BDB" w:rsidP="00A73254">
            <w:pPr>
              <w:spacing w:after="0" w:line="240" w:lineRule="auto"/>
              <w:ind w:firstLine="5"/>
              <w:jc w:val="center"/>
              <w:rPr>
                <w:rFonts w:ascii="Times New Roman" w:hAnsi="Times New Roman" w:cs="Times New Roman"/>
                <w:lang w:val="uk-UA"/>
              </w:rPr>
            </w:pPr>
            <w:r w:rsidRPr="00AF7BE6">
              <w:rPr>
                <w:rFonts w:ascii="Times New Roman" w:hAnsi="Times New Roman" w:cs="Times New Roman"/>
                <w:lang w:val="uk-UA"/>
              </w:rPr>
              <w:t>(50 524)</w:t>
            </w:r>
          </w:p>
        </w:tc>
      </w:tr>
      <w:tr w:rsidR="004507E3" w:rsidRPr="00AF7BE6" w14:paraId="167A3CF5"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35CCD3"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Неоплачений капітал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F86C7"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1425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26F1E" w14:textId="77777777" w:rsidR="004507E3" w:rsidRPr="00AF7BE6" w:rsidRDefault="004507E3" w:rsidP="00AD4B93">
            <w:pPr>
              <w:spacing w:after="0" w:line="240" w:lineRule="auto"/>
              <w:jc w:val="center"/>
              <w:rPr>
                <w:lang w:val="uk-UA"/>
              </w:rPr>
            </w:pPr>
            <w:r w:rsidRPr="00AF7BE6">
              <w:rPr>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D77CF" w14:textId="77777777" w:rsidR="004507E3" w:rsidRPr="00AF7BE6" w:rsidRDefault="004507E3" w:rsidP="00AD4B93">
            <w:pPr>
              <w:spacing w:after="0" w:line="240" w:lineRule="auto"/>
              <w:jc w:val="center"/>
              <w:rPr>
                <w:lang w:val="uk-UA"/>
              </w:rPr>
            </w:pPr>
            <w:r w:rsidRPr="00AF7BE6">
              <w:rPr>
                <w:lang w:val="uk-UA"/>
              </w:rPr>
              <w:t>-</w:t>
            </w:r>
          </w:p>
        </w:tc>
      </w:tr>
      <w:tr w:rsidR="004507E3" w:rsidRPr="00AF7BE6" w14:paraId="5E7CF267"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814709"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Вилучений капітал</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F21C5"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1430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F8C4A" w14:textId="77777777" w:rsidR="004507E3" w:rsidRPr="00AF7BE6" w:rsidRDefault="004507E3" w:rsidP="00AD4B93">
            <w:pPr>
              <w:spacing w:after="0" w:line="240" w:lineRule="auto"/>
              <w:jc w:val="center"/>
              <w:rPr>
                <w:lang w:val="uk-UA"/>
              </w:rPr>
            </w:pPr>
            <w:r w:rsidRPr="00AF7BE6">
              <w:rPr>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85A0F6" w14:textId="77777777" w:rsidR="004507E3" w:rsidRPr="00AF7BE6" w:rsidRDefault="004507E3" w:rsidP="00AD4B93">
            <w:pPr>
              <w:spacing w:after="0" w:line="240" w:lineRule="auto"/>
              <w:jc w:val="center"/>
              <w:rPr>
                <w:lang w:val="uk-UA"/>
              </w:rPr>
            </w:pPr>
            <w:r w:rsidRPr="00AF7BE6">
              <w:rPr>
                <w:lang w:val="uk-UA"/>
              </w:rPr>
              <w:t>-</w:t>
            </w:r>
          </w:p>
        </w:tc>
      </w:tr>
      <w:tr w:rsidR="004507E3" w:rsidRPr="00AF7BE6" w14:paraId="6900FC1B"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6C4EFA"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Інші резерви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ECCCD"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1435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3913D" w14:textId="77777777" w:rsidR="004507E3" w:rsidRPr="00AF7BE6" w:rsidRDefault="004507E3" w:rsidP="00AD4B93">
            <w:pPr>
              <w:spacing w:after="0" w:line="240" w:lineRule="auto"/>
              <w:jc w:val="center"/>
              <w:rPr>
                <w:lang w:val="uk-UA"/>
              </w:rPr>
            </w:pPr>
            <w:r w:rsidRPr="00AF7BE6">
              <w:rPr>
                <w:lang w:val="uk-UA"/>
              </w:rPr>
              <w:t>-</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07B6E9" w14:textId="77777777" w:rsidR="004507E3" w:rsidRPr="00AF7BE6" w:rsidRDefault="004507E3" w:rsidP="00AD4B93">
            <w:pPr>
              <w:spacing w:after="0" w:line="240" w:lineRule="auto"/>
              <w:jc w:val="center"/>
              <w:rPr>
                <w:lang w:val="uk-UA"/>
              </w:rPr>
            </w:pPr>
            <w:r w:rsidRPr="00AF7BE6">
              <w:rPr>
                <w:lang w:val="uk-UA"/>
              </w:rPr>
              <w:t>-</w:t>
            </w:r>
          </w:p>
        </w:tc>
      </w:tr>
      <w:tr w:rsidR="004507E3" w:rsidRPr="00AF7BE6" w14:paraId="5E6613E1" w14:textId="77777777" w:rsidTr="005D4EDB">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4947D" w14:textId="77777777" w:rsidR="004507E3" w:rsidRPr="00AF7BE6" w:rsidRDefault="004507E3" w:rsidP="006A62CD">
            <w:pPr>
              <w:spacing w:after="0" w:line="240" w:lineRule="auto"/>
              <w:rPr>
                <w:lang w:val="uk-UA"/>
              </w:rPr>
            </w:pPr>
            <w:r w:rsidRPr="00AF7BE6">
              <w:rPr>
                <w:rFonts w:ascii="Times New Roman" w:eastAsia="Times New Roman" w:hAnsi="Times New Roman" w:cs="Times New Roman"/>
                <w:color w:val="000000"/>
                <w:lang w:val="uk-UA"/>
              </w:rPr>
              <w:t>Усього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162D8" w14:textId="77777777" w:rsidR="004507E3" w:rsidRPr="00AF7BE6" w:rsidRDefault="004507E3" w:rsidP="006A62CD">
            <w:pPr>
              <w:spacing w:after="0" w:line="240" w:lineRule="auto"/>
              <w:jc w:val="center"/>
              <w:rPr>
                <w:lang w:val="uk-UA"/>
              </w:rPr>
            </w:pPr>
            <w:r w:rsidRPr="00AF7BE6">
              <w:rPr>
                <w:rFonts w:ascii="Times New Roman" w:eastAsia="Times New Roman" w:hAnsi="Times New Roman" w:cs="Times New Roman"/>
                <w:color w:val="000000"/>
                <w:lang w:val="uk-UA"/>
              </w:rPr>
              <w:t>1495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49AD5D" w14:textId="61E2A76F" w:rsidR="004507E3" w:rsidRPr="00AF7BE6" w:rsidRDefault="00F92DFB" w:rsidP="006A1E84">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(45 514)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8CD221" w14:textId="04B37065" w:rsidR="004507E3" w:rsidRPr="00AF7BE6" w:rsidRDefault="00F92DFB" w:rsidP="00A73254">
            <w:pPr>
              <w:spacing w:after="0" w:line="240" w:lineRule="auto"/>
              <w:jc w:val="center"/>
              <w:rPr>
                <w:rFonts w:ascii="Times New Roman" w:hAnsi="Times New Roman" w:cs="Times New Roman"/>
                <w:lang w:val="uk-UA"/>
              </w:rPr>
            </w:pPr>
            <w:r w:rsidRPr="00AF7BE6">
              <w:rPr>
                <w:rFonts w:ascii="Times New Roman" w:hAnsi="Times New Roman" w:cs="Times New Roman"/>
                <w:lang w:val="uk-UA"/>
              </w:rPr>
              <w:t>(57 086)</w:t>
            </w:r>
          </w:p>
        </w:tc>
      </w:tr>
    </w:tbl>
    <w:p w14:paraId="0D157B0E" w14:textId="77777777" w:rsidR="00C83A32" w:rsidRPr="00AF7BE6" w:rsidRDefault="00C83A32" w:rsidP="00EF5E75">
      <w:pPr>
        <w:tabs>
          <w:tab w:val="left" w:pos="1110"/>
        </w:tabs>
        <w:spacing w:after="0" w:line="240" w:lineRule="auto"/>
        <w:jc w:val="both"/>
        <w:rPr>
          <w:rFonts w:ascii="Times New Roman" w:eastAsia="Times New Roman" w:hAnsi="Times New Roman" w:cs="Times New Roman"/>
          <w:color w:val="000000"/>
          <w:shd w:val="clear" w:color="auto" w:fill="FFFFFF"/>
          <w:lang w:val="uk-UA"/>
        </w:rPr>
      </w:pPr>
    </w:p>
    <w:p w14:paraId="0C1E732C" w14:textId="73FDD124" w:rsidR="00C83A32" w:rsidRPr="00AF7BE6" w:rsidRDefault="00C83A32" w:rsidP="00C83A32">
      <w:pPr>
        <w:spacing w:after="0" w:line="240" w:lineRule="auto"/>
        <w:ind w:firstLine="709"/>
        <w:jc w:val="both"/>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 xml:space="preserve">На нашу думку, інформація про власний капітал достовірно та справедливо відображена у фінансовій звітності і відповідає вимогам </w:t>
      </w:r>
      <w:r w:rsidR="001B3A50" w:rsidRPr="00AF7BE6">
        <w:rPr>
          <w:rFonts w:ascii="Times New Roman" w:eastAsia="Times New Roman" w:hAnsi="Times New Roman" w:cs="Times New Roman"/>
          <w:color w:val="000000"/>
          <w:lang w:val="uk-UA"/>
        </w:rPr>
        <w:t>МСФЗ</w:t>
      </w:r>
      <w:r w:rsidR="0074652A" w:rsidRPr="00AF7BE6">
        <w:rPr>
          <w:rFonts w:ascii="Times New Roman" w:eastAsia="Times New Roman" w:hAnsi="Times New Roman" w:cs="Times New Roman"/>
          <w:color w:val="000000"/>
          <w:shd w:val="clear" w:color="auto" w:fill="FFFFFF"/>
          <w:lang w:val="uk-UA"/>
        </w:rPr>
        <w:t>.</w:t>
      </w:r>
    </w:p>
    <w:p w14:paraId="07352379" w14:textId="77777777" w:rsidR="006F000F" w:rsidRPr="00AF7BE6" w:rsidRDefault="006F000F" w:rsidP="00C83A32">
      <w:pPr>
        <w:spacing w:after="0" w:line="240" w:lineRule="auto"/>
        <w:ind w:firstLine="709"/>
        <w:jc w:val="both"/>
        <w:rPr>
          <w:rFonts w:ascii="Times New Roman" w:eastAsia="Times New Roman" w:hAnsi="Times New Roman" w:cs="Times New Roman"/>
          <w:color w:val="000000"/>
          <w:shd w:val="clear" w:color="auto" w:fill="FFFFFF"/>
          <w:lang w:val="uk-UA"/>
        </w:rPr>
      </w:pPr>
    </w:p>
    <w:p w14:paraId="1C9E8D2F" w14:textId="77777777" w:rsidR="002153B4" w:rsidRPr="00AF7BE6" w:rsidRDefault="002153B4" w:rsidP="002153B4">
      <w:pPr>
        <w:tabs>
          <w:tab w:val="left" w:pos="-142"/>
        </w:tabs>
        <w:spacing w:after="0" w:line="240" w:lineRule="auto"/>
        <w:ind w:firstLine="709"/>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Розкриття інформації про відповідність вартості чистих активів</w:t>
      </w:r>
    </w:p>
    <w:p w14:paraId="099B0EB5" w14:textId="77777777" w:rsidR="002153B4" w:rsidRPr="00AF7BE6" w:rsidRDefault="002153B4" w:rsidP="002153B4">
      <w:pPr>
        <w:tabs>
          <w:tab w:val="left" w:pos="-142"/>
        </w:tabs>
        <w:spacing w:after="0" w:line="240" w:lineRule="auto"/>
        <w:ind w:firstLine="709"/>
        <w:jc w:val="center"/>
        <w:rPr>
          <w:rFonts w:ascii="Times New Roman" w:eastAsia="Times New Roman" w:hAnsi="Times New Roman" w:cs="Times New Roman"/>
          <w:b/>
          <w:color w:val="000000"/>
          <w:sz w:val="14"/>
          <w:lang w:val="uk-UA"/>
        </w:rPr>
      </w:pPr>
    </w:p>
    <w:p w14:paraId="1C8FE5EF" w14:textId="77777777"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Балансова вартість чистих активів Товариства (активи за вирахуванням зобов’язань) станом на 31.12.2020 року складають:</w:t>
      </w:r>
    </w:p>
    <w:p w14:paraId="5774D3CB" w14:textId="119562AE"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Необоротні активи                        </w:t>
      </w:r>
      <w:r w:rsidR="004507E3" w:rsidRPr="00AF7BE6">
        <w:rPr>
          <w:rFonts w:ascii="Times New Roman" w:eastAsia="Times New Roman" w:hAnsi="Times New Roman" w:cs="Times New Roman"/>
          <w:color w:val="000000"/>
          <w:sz w:val="24"/>
          <w:szCs w:val="24"/>
          <w:shd w:val="clear" w:color="auto" w:fill="FFFFFF"/>
          <w:lang w:val="uk-UA"/>
        </w:rPr>
        <w:t xml:space="preserve">                   </w:t>
      </w:r>
      <w:r w:rsidR="009169C5" w:rsidRPr="00AF7BE6">
        <w:rPr>
          <w:rFonts w:ascii="Times New Roman" w:eastAsia="Times New Roman" w:hAnsi="Times New Roman" w:cs="Times New Roman"/>
          <w:color w:val="000000"/>
          <w:sz w:val="24"/>
          <w:szCs w:val="24"/>
          <w:shd w:val="clear" w:color="auto" w:fill="FFFFFF"/>
          <w:lang w:val="uk-UA"/>
        </w:rPr>
        <w:t>36 031</w:t>
      </w:r>
      <w:r w:rsidRPr="00AF7BE6">
        <w:rPr>
          <w:rFonts w:ascii="Times New Roman" w:eastAsia="Times New Roman" w:hAnsi="Times New Roman" w:cs="Times New Roman"/>
          <w:color w:val="000000"/>
          <w:sz w:val="24"/>
          <w:szCs w:val="24"/>
          <w:shd w:val="clear" w:color="auto" w:fill="FFFFFF"/>
          <w:lang w:val="uk-UA"/>
        </w:rPr>
        <w:t xml:space="preserve"> тис</w:t>
      </w:r>
      <w:r w:rsidR="009169C5" w:rsidRPr="00AF7BE6">
        <w:rPr>
          <w:rFonts w:ascii="Times New Roman" w:eastAsia="Times New Roman" w:hAnsi="Times New Roman" w:cs="Times New Roman"/>
          <w:color w:val="000000"/>
          <w:sz w:val="24"/>
          <w:szCs w:val="24"/>
          <w:shd w:val="clear" w:color="auto" w:fill="FFFFFF"/>
          <w:lang w:val="uk-UA"/>
        </w:rPr>
        <w:t>.</w:t>
      </w:r>
      <w:r w:rsidRPr="00AF7BE6">
        <w:rPr>
          <w:rFonts w:ascii="Times New Roman" w:eastAsia="Times New Roman" w:hAnsi="Times New Roman" w:cs="Times New Roman"/>
          <w:color w:val="000000"/>
          <w:sz w:val="24"/>
          <w:szCs w:val="24"/>
          <w:shd w:val="clear" w:color="auto" w:fill="FFFFFF"/>
          <w:lang w:val="uk-UA"/>
        </w:rPr>
        <w:t xml:space="preserve"> грн.</w:t>
      </w:r>
    </w:p>
    <w:p w14:paraId="37EE0802" w14:textId="72F9A6EE"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bookmarkStart w:id="1" w:name="OLE_LINK15"/>
      <w:bookmarkStart w:id="2" w:name="OLE_LINK16"/>
      <w:r w:rsidRPr="00AF7BE6">
        <w:rPr>
          <w:rFonts w:ascii="Times New Roman" w:eastAsia="Times New Roman" w:hAnsi="Times New Roman" w:cs="Times New Roman"/>
          <w:color w:val="000000"/>
          <w:sz w:val="24"/>
          <w:szCs w:val="24"/>
          <w:shd w:val="clear" w:color="auto" w:fill="FFFFFF"/>
          <w:lang w:val="uk-UA"/>
        </w:rPr>
        <w:t xml:space="preserve">Оборотні активи                                              </w:t>
      </w:r>
      <w:r w:rsidR="009169C5" w:rsidRPr="00AF7BE6">
        <w:rPr>
          <w:rFonts w:ascii="Times New Roman" w:eastAsia="Times New Roman" w:hAnsi="Times New Roman" w:cs="Times New Roman"/>
          <w:color w:val="000000"/>
          <w:sz w:val="24"/>
          <w:szCs w:val="24"/>
          <w:shd w:val="clear" w:color="auto" w:fill="FFFFFF"/>
          <w:lang w:val="uk-UA"/>
        </w:rPr>
        <w:t>31 593</w:t>
      </w:r>
      <w:r w:rsidR="004507E3" w:rsidRPr="00AF7BE6">
        <w:rPr>
          <w:rFonts w:ascii="Times New Roman" w:eastAsia="Times New Roman" w:hAnsi="Times New Roman" w:cs="Times New Roman"/>
          <w:color w:val="000000"/>
          <w:sz w:val="24"/>
          <w:szCs w:val="24"/>
          <w:shd w:val="clear" w:color="auto" w:fill="FFFFFF"/>
          <w:lang w:val="uk-UA"/>
        </w:rPr>
        <w:t xml:space="preserve"> </w:t>
      </w:r>
      <w:r w:rsidRPr="00AF7BE6">
        <w:rPr>
          <w:rFonts w:ascii="Times New Roman" w:eastAsia="Times New Roman" w:hAnsi="Times New Roman" w:cs="Times New Roman"/>
          <w:color w:val="000000"/>
          <w:sz w:val="24"/>
          <w:szCs w:val="24"/>
          <w:shd w:val="clear" w:color="auto" w:fill="FFFFFF"/>
          <w:lang w:val="uk-UA"/>
        </w:rPr>
        <w:t>тис</w:t>
      </w:r>
      <w:r w:rsidR="009169C5" w:rsidRPr="00AF7BE6">
        <w:rPr>
          <w:rFonts w:ascii="Times New Roman" w:eastAsia="Times New Roman" w:hAnsi="Times New Roman" w:cs="Times New Roman"/>
          <w:color w:val="000000"/>
          <w:sz w:val="24"/>
          <w:szCs w:val="24"/>
          <w:shd w:val="clear" w:color="auto" w:fill="FFFFFF"/>
          <w:lang w:val="uk-UA"/>
        </w:rPr>
        <w:t>.</w:t>
      </w:r>
      <w:r w:rsidRPr="00AF7BE6">
        <w:rPr>
          <w:rFonts w:ascii="Times New Roman" w:eastAsia="Times New Roman" w:hAnsi="Times New Roman" w:cs="Times New Roman"/>
          <w:color w:val="000000"/>
          <w:sz w:val="24"/>
          <w:szCs w:val="24"/>
          <w:shd w:val="clear" w:color="auto" w:fill="FFFFFF"/>
          <w:lang w:val="uk-UA"/>
        </w:rPr>
        <w:t xml:space="preserve"> грн.</w:t>
      </w:r>
    </w:p>
    <w:bookmarkEnd w:id="1"/>
    <w:bookmarkEnd w:id="2"/>
    <w:p w14:paraId="41B618D5" w14:textId="6E85E6FA"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    </w:t>
      </w:r>
      <w:r w:rsidRPr="00AF7BE6">
        <w:rPr>
          <w:rFonts w:ascii="Times New Roman" w:eastAsia="Times New Roman" w:hAnsi="Times New Roman" w:cs="Times New Roman"/>
          <w:b/>
          <w:color w:val="000000"/>
          <w:sz w:val="24"/>
          <w:szCs w:val="24"/>
          <w:shd w:val="clear" w:color="auto" w:fill="FFFFFF"/>
          <w:lang w:val="uk-UA"/>
        </w:rPr>
        <w:t>РАЗОМ  активи</w:t>
      </w:r>
      <w:r w:rsidRPr="00AF7BE6">
        <w:rPr>
          <w:rFonts w:ascii="Times New Roman" w:eastAsia="Times New Roman" w:hAnsi="Times New Roman" w:cs="Times New Roman"/>
          <w:color w:val="000000"/>
          <w:sz w:val="24"/>
          <w:szCs w:val="24"/>
          <w:shd w:val="clear" w:color="auto" w:fill="FFFFFF"/>
          <w:lang w:val="uk-UA"/>
        </w:rPr>
        <w:t xml:space="preserve">                                          </w:t>
      </w:r>
      <w:r w:rsidR="009169C5" w:rsidRPr="00AF7BE6">
        <w:rPr>
          <w:rFonts w:ascii="Times New Roman" w:eastAsia="Times New Roman" w:hAnsi="Times New Roman" w:cs="Times New Roman"/>
          <w:color w:val="000000"/>
          <w:sz w:val="24"/>
          <w:szCs w:val="24"/>
          <w:shd w:val="clear" w:color="auto" w:fill="FFFFFF"/>
          <w:lang w:val="uk-UA"/>
        </w:rPr>
        <w:t>67 624</w:t>
      </w:r>
      <w:r w:rsidR="004507E3" w:rsidRPr="00AF7BE6">
        <w:rPr>
          <w:rFonts w:ascii="Times New Roman" w:eastAsia="Times New Roman" w:hAnsi="Times New Roman" w:cs="Times New Roman"/>
          <w:color w:val="000000"/>
          <w:sz w:val="24"/>
          <w:szCs w:val="24"/>
          <w:shd w:val="clear" w:color="auto" w:fill="FFFFFF"/>
          <w:lang w:val="uk-UA"/>
        </w:rPr>
        <w:t xml:space="preserve"> </w:t>
      </w:r>
      <w:r w:rsidRPr="00AF7BE6">
        <w:rPr>
          <w:rFonts w:ascii="Times New Roman" w:eastAsia="Times New Roman" w:hAnsi="Times New Roman" w:cs="Times New Roman"/>
          <w:color w:val="000000"/>
          <w:sz w:val="24"/>
          <w:szCs w:val="24"/>
          <w:shd w:val="clear" w:color="auto" w:fill="FFFFFF"/>
          <w:lang w:val="uk-UA"/>
        </w:rPr>
        <w:t>тис</w:t>
      </w:r>
      <w:r w:rsidR="009169C5" w:rsidRPr="00AF7BE6">
        <w:rPr>
          <w:rFonts w:ascii="Times New Roman" w:eastAsia="Times New Roman" w:hAnsi="Times New Roman" w:cs="Times New Roman"/>
          <w:color w:val="000000"/>
          <w:sz w:val="24"/>
          <w:szCs w:val="24"/>
          <w:shd w:val="clear" w:color="auto" w:fill="FFFFFF"/>
          <w:lang w:val="uk-UA"/>
        </w:rPr>
        <w:t>.</w:t>
      </w:r>
      <w:r w:rsidRPr="00AF7BE6">
        <w:rPr>
          <w:rFonts w:ascii="Times New Roman" w:eastAsia="Times New Roman" w:hAnsi="Times New Roman" w:cs="Times New Roman"/>
          <w:color w:val="000000"/>
          <w:sz w:val="24"/>
          <w:szCs w:val="24"/>
          <w:shd w:val="clear" w:color="auto" w:fill="FFFFFF"/>
          <w:lang w:val="uk-UA"/>
        </w:rPr>
        <w:t xml:space="preserve"> грн.</w:t>
      </w:r>
    </w:p>
    <w:p w14:paraId="01E370A2" w14:textId="5C04666E"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Довгострокові зобов’язання                            </w:t>
      </w:r>
      <w:r w:rsidR="009169C5" w:rsidRPr="00AF7BE6">
        <w:rPr>
          <w:rFonts w:ascii="Times New Roman" w:eastAsia="Times New Roman" w:hAnsi="Times New Roman" w:cs="Times New Roman"/>
          <w:color w:val="000000"/>
          <w:sz w:val="24"/>
          <w:szCs w:val="24"/>
          <w:shd w:val="clear" w:color="auto" w:fill="FFFFFF"/>
          <w:lang w:val="uk-UA"/>
        </w:rPr>
        <w:t>34 366 тис. грн.</w:t>
      </w:r>
    </w:p>
    <w:p w14:paraId="0D64B4BF" w14:textId="4DF7C132"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Поточні зобов’язання                                      </w:t>
      </w:r>
      <w:r w:rsidR="009169C5" w:rsidRPr="00AF7BE6">
        <w:rPr>
          <w:rFonts w:ascii="Times New Roman" w:eastAsia="Times New Roman" w:hAnsi="Times New Roman" w:cs="Times New Roman"/>
          <w:color w:val="000000"/>
          <w:sz w:val="24"/>
          <w:szCs w:val="24"/>
          <w:shd w:val="clear" w:color="auto" w:fill="FFFFFF"/>
          <w:lang w:val="uk-UA"/>
        </w:rPr>
        <w:t>90 344</w:t>
      </w:r>
      <w:r w:rsidR="004507E3" w:rsidRPr="00AF7BE6">
        <w:rPr>
          <w:rFonts w:ascii="Times New Roman" w:eastAsia="Times New Roman" w:hAnsi="Times New Roman" w:cs="Times New Roman"/>
          <w:color w:val="000000"/>
          <w:sz w:val="24"/>
          <w:szCs w:val="24"/>
          <w:shd w:val="clear" w:color="auto" w:fill="FFFFFF"/>
          <w:lang w:val="uk-UA"/>
        </w:rPr>
        <w:t xml:space="preserve"> </w:t>
      </w:r>
      <w:r w:rsidRPr="00AF7BE6">
        <w:rPr>
          <w:rFonts w:ascii="Times New Roman" w:eastAsia="Times New Roman" w:hAnsi="Times New Roman" w:cs="Times New Roman"/>
          <w:color w:val="000000"/>
          <w:sz w:val="24"/>
          <w:szCs w:val="24"/>
          <w:shd w:val="clear" w:color="auto" w:fill="FFFFFF"/>
          <w:lang w:val="uk-UA"/>
        </w:rPr>
        <w:t>тис</w:t>
      </w:r>
      <w:r w:rsidR="009169C5" w:rsidRPr="00AF7BE6">
        <w:rPr>
          <w:rFonts w:ascii="Times New Roman" w:eastAsia="Times New Roman" w:hAnsi="Times New Roman" w:cs="Times New Roman"/>
          <w:color w:val="000000"/>
          <w:sz w:val="24"/>
          <w:szCs w:val="24"/>
          <w:shd w:val="clear" w:color="auto" w:fill="FFFFFF"/>
          <w:lang w:val="uk-UA"/>
        </w:rPr>
        <w:t>.</w:t>
      </w:r>
      <w:r w:rsidRPr="00AF7BE6">
        <w:rPr>
          <w:rFonts w:ascii="Times New Roman" w:eastAsia="Times New Roman" w:hAnsi="Times New Roman" w:cs="Times New Roman"/>
          <w:color w:val="000000"/>
          <w:sz w:val="24"/>
          <w:szCs w:val="24"/>
          <w:shd w:val="clear" w:color="auto" w:fill="FFFFFF"/>
          <w:lang w:val="uk-UA"/>
        </w:rPr>
        <w:t xml:space="preserve"> грн.</w:t>
      </w:r>
    </w:p>
    <w:p w14:paraId="6B76B836" w14:textId="30AC732D"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    </w:t>
      </w:r>
      <w:r w:rsidRPr="00AF7BE6">
        <w:rPr>
          <w:rFonts w:ascii="Times New Roman" w:eastAsia="Times New Roman" w:hAnsi="Times New Roman" w:cs="Times New Roman"/>
          <w:b/>
          <w:color w:val="000000"/>
          <w:sz w:val="24"/>
          <w:szCs w:val="24"/>
          <w:shd w:val="clear" w:color="auto" w:fill="FFFFFF"/>
          <w:lang w:val="uk-UA"/>
        </w:rPr>
        <w:t>РАЗОМ  зобов’язання</w:t>
      </w:r>
      <w:r w:rsidRPr="00AF7BE6">
        <w:rPr>
          <w:rFonts w:ascii="Times New Roman" w:eastAsia="Times New Roman" w:hAnsi="Times New Roman" w:cs="Times New Roman"/>
          <w:color w:val="000000"/>
          <w:sz w:val="24"/>
          <w:szCs w:val="24"/>
          <w:shd w:val="clear" w:color="auto" w:fill="FFFFFF"/>
          <w:lang w:val="uk-UA"/>
        </w:rPr>
        <w:t xml:space="preserve">                               </w:t>
      </w:r>
      <w:r w:rsidR="009169C5" w:rsidRPr="00AF7BE6">
        <w:rPr>
          <w:rFonts w:ascii="Times New Roman" w:eastAsia="Times New Roman" w:hAnsi="Times New Roman" w:cs="Times New Roman"/>
          <w:color w:val="000000"/>
          <w:sz w:val="24"/>
          <w:szCs w:val="24"/>
          <w:shd w:val="clear" w:color="auto" w:fill="FFFFFF"/>
          <w:lang w:val="uk-UA"/>
        </w:rPr>
        <w:t>124 710</w:t>
      </w:r>
      <w:r w:rsidR="004507E3" w:rsidRPr="00AF7BE6">
        <w:rPr>
          <w:rFonts w:ascii="Times New Roman" w:eastAsia="Times New Roman" w:hAnsi="Times New Roman" w:cs="Times New Roman"/>
          <w:color w:val="000000"/>
          <w:sz w:val="24"/>
          <w:szCs w:val="24"/>
          <w:shd w:val="clear" w:color="auto" w:fill="FFFFFF"/>
          <w:lang w:val="uk-UA"/>
        </w:rPr>
        <w:t xml:space="preserve"> </w:t>
      </w:r>
      <w:r w:rsidRPr="00AF7BE6">
        <w:rPr>
          <w:rFonts w:ascii="Times New Roman" w:eastAsia="Times New Roman" w:hAnsi="Times New Roman" w:cs="Times New Roman"/>
          <w:color w:val="000000"/>
          <w:sz w:val="24"/>
          <w:szCs w:val="24"/>
          <w:shd w:val="clear" w:color="auto" w:fill="FFFFFF"/>
          <w:lang w:val="uk-UA"/>
        </w:rPr>
        <w:t>тис</w:t>
      </w:r>
      <w:r w:rsidR="009169C5" w:rsidRPr="00AF7BE6">
        <w:rPr>
          <w:rFonts w:ascii="Times New Roman" w:eastAsia="Times New Roman" w:hAnsi="Times New Roman" w:cs="Times New Roman"/>
          <w:color w:val="000000"/>
          <w:sz w:val="24"/>
          <w:szCs w:val="24"/>
          <w:shd w:val="clear" w:color="auto" w:fill="FFFFFF"/>
          <w:lang w:val="uk-UA"/>
        </w:rPr>
        <w:t>.</w:t>
      </w:r>
      <w:r w:rsidRPr="00AF7BE6">
        <w:rPr>
          <w:rFonts w:ascii="Times New Roman" w:eastAsia="Times New Roman" w:hAnsi="Times New Roman" w:cs="Times New Roman"/>
          <w:color w:val="000000"/>
          <w:sz w:val="24"/>
          <w:szCs w:val="24"/>
          <w:shd w:val="clear" w:color="auto" w:fill="FFFFFF"/>
          <w:lang w:val="uk-UA"/>
        </w:rPr>
        <w:t xml:space="preserve"> грн.</w:t>
      </w:r>
    </w:p>
    <w:p w14:paraId="4485E2A2" w14:textId="77777777"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    Чисті активи:</w:t>
      </w:r>
    </w:p>
    <w:p w14:paraId="5F5433CC" w14:textId="5F1BC8D2"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РАЗОМ активи мінус РАЗОМ зобов’язання </w:t>
      </w:r>
      <w:r w:rsidR="001477D8" w:rsidRPr="00AF7BE6">
        <w:rPr>
          <w:rFonts w:ascii="Times New Roman" w:eastAsia="Times New Roman" w:hAnsi="Times New Roman" w:cs="Times New Roman"/>
          <w:color w:val="000000"/>
          <w:sz w:val="24"/>
          <w:szCs w:val="24"/>
          <w:shd w:val="clear" w:color="auto" w:fill="FFFFFF"/>
          <w:lang w:val="uk-UA"/>
        </w:rPr>
        <w:t>- мінус 57 086</w:t>
      </w:r>
      <w:r w:rsidRPr="00AF7BE6">
        <w:rPr>
          <w:rFonts w:ascii="Times New Roman" w:eastAsia="Times New Roman" w:hAnsi="Times New Roman" w:cs="Times New Roman"/>
          <w:color w:val="000000"/>
          <w:sz w:val="24"/>
          <w:szCs w:val="24"/>
          <w:shd w:val="clear" w:color="auto" w:fill="FFFFFF"/>
          <w:lang w:val="uk-UA"/>
        </w:rPr>
        <w:t xml:space="preserve"> тис грн.</w:t>
      </w:r>
    </w:p>
    <w:p w14:paraId="3C53F5DF" w14:textId="7E85548C" w:rsidR="005D4EDB" w:rsidRPr="00AF7BE6" w:rsidRDefault="005D4EDB" w:rsidP="005D4EDB">
      <w:pPr>
        <w:spacing w:after="0" w:line="240" w:lineRule="auto"/>
        <w:ind w:firstLine="709"/>
        <w:jc w:val="both"/>
        <w:rPr>
          <w:rFonts w:ascii="Times New Roman" w:eastAsia="Times New Roman" w:hAnsi="Times New Roman" w:cs="Times New Roman"/>
          <w:color w:val="000000"/>
          <w:sz w:val="24"/>
          <w:szCs w:val="24"/>
          <w:shd w:val="clear" w:color="auto" w:fill="FFFFFF"/>
          <w:lang w:val="uk-UA"/>
        </w:rPr>
      </w:pPr>
      <w:r w:rsidRPr="00AF7BE6">
        <w:rPr>
          <w:rFonts w:ascii="Times New Roman" w:eastAsia="Times New Roman" w:hAnsi="Times New Roman" w:cs="Times New Roman"/>
          <w:color w:val="000000"/>
          <w:sz w:val="24"/>
          <w:szCs w:val="24"/>
          <w:shd w:val="clear" w:color="auto" w:fill="FFFFFF"/>
          <w:lang w:val="uk-UA"/>
        </w:rPr>
        <w:t xml:space="preserve">Станом на 31.12.2020 року вартість чистих активів складає </w:t>
      </w:r>
      <w:r w:rsidR="001477D8" w:rsidRPr="00AF7BE6">
        <w:rPr>
          <w:rFonts w:ascii="Times New Roman" w:eastAsia="Times New Roman" w:hAnsi="Times New Roman" w:cs="Times New Roman"/>
          <w:color w:val="000000"/>
          <w:sz w:val="24"/>
          <w:szCs w:val="24"/>
          <w:shd w:val="clear" w:color="auto" w:fill="FFFFFF"/>
          <w:lang w:val="uk-UA"/>
        </w:rPr>
        <w:t>мінус 57 086 тис грн.</w:t>
      </w:r>
    </w:p>
    <w:p w14:paraId="7C0C40E7" w14:textId="77777777" w:rsidR="00B63512" w:rsidRPr="00AF7BE6" w:rsidRDefault="00B63512" w:rsidP="00B63512">
      <w:pPr>
        <w:spacing w:before="240" w:after="0" w:line="240" w:lineRule="auto"/>
        <w:jc w:val="center"/>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b/>
          <w:color w:val="000000"/>
          <w:shd w:val="clear" w:color="auto" w:fill="FFFFFF"/>
          <w:lang w:val="uk-UA"/>
        </w:rPr>
        <w:t>Аналіз фінансового стану</w:t>
      </w:r>
    </w:p>
    <w:p w14:paraId="7D22D666" w14:textId="77777777" w:rsidR="00B63512" w:rsidRPr="00AF7BE6" w:rsidRDefault="00B63512" w:rsidP="00B63512">
      <w:pPr>
        <w:spacing w:after="0" w:line="240" w:lineRule="auto"/>
        <w:ind w:left="720" w:firstLine="709"/>
        <w:jc w:val="center"/>
        <w:rPr>
          <w:rFonts w:ascii="Times New Roman" w:eastAsia="Times New Roman" w:hAnsi="Times New Roman" w:cs="Times New Roman"/>
          <w:b/>
          <w:color w:val="000000"/>
          <w:lang w:val="uk-UA"/>
        </w:rPr>
      </w:pPr>
    </w:p>
    <w:p w14:paraId="3C880A41" w14:textId="77777777" w:rsidR="00B63512" w:rsidRPr="00AF7BE6" w:rsidRDefault="00B63512" w:rsidP="00B63512">
      <w:pPr>
        <w:spacing w:after="0" w:line="240" w:lineRule="auto"/>
        <w:ind w:firstLine="709"/>
        <w:jc w:val="both"/>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Для проведення аналізу фінансових показників Товариства використано фінансову звітність станом на 31.12.20</w:t>
      </w:r>
      <w:r w:rsidR="005D4EDB" w:rsidRPr="00AF7BE6">
        <w:rPr>
          <w:rFonts w:ascii="Times New Roman" w:eastAsia="Times New Roman" w:hAnsi="Times New Roman" w:cs="Times New Roman"/>
          <w:color w:val="000000"/>
          <w:shd w:val="clear" w:color="auto" w:fill="FFFFFF"/>
          <w:lang w:val="uk-UA"/>
        </w:rPr>
        <w:t>20</w:t>
      </w:r>
      <w:r w:rsidRPr="00AF7BE6">
        <w:rPr>
          <w:rFonts w:ascii="Times New Roman" w:eastAsia="Times New Roman" w:hAnsi="Times New Roman" w:cs="Times New Roman"/>
          <w:color w:val="000000"/>
          <w:shd w:val="clear" w:color="auto" w:fill="FFFFFF"/>
          <w:lang w:val="uk-UA"/>
        </w:rPr>
        <w:t xml:space="preserve"> року, у складі: Балансу (Звіт про фінансовий стан) Форма № 1, Звіту про фінансові результати (Звіт про сукупний дохід) Форма № 2, Звіту про рух грошових коштів (за прямим методом) Форма № 3, Звіту про власний капітал (Форма № 4), Приміток до фінансової звітності</w:t>
      </w:r>
      <w:r w:rsidR="008252B1" w:rsidRPr="00AF7BE6">
        <w:rPr>
          <w:rFonts w:ascii="Times New Roman" w:eastAsia="Times New Roman" w:hAnsi="Times New Roman" w:cs="Times New Roman"/>
          <w:color w:val="000000"/>
          <w:shd w:val="clear" w:color="auto" w:fill="FFFFFF"/>
          <w:lang w:val="uk-UA"/>
        </w:rPr>
        <w:t xml:space="preserve"> (Форма №5)</w:t>
      </w:r>
      <w:r w:rsidRPr="00AF7BE6">
        <w:rPr>
          <w:rFonts w:ascii="Times New Roman" w:eastAsia="Times New Roman" w:hAnsi="Times New Roman" w:cs="Times New Roman"/>
          <w:color w:val="000000"/>
          <w:shd w:val="clear" w:color="auto" w:fill="FFFFFF"/>
          <w:lang w:val="uk-UA"/>
        </w:rPr>
        <w:t xml:space="preserve"> за 20</w:t>
      </w:r>
      <w:r w:rsidR="005D4EDB" w:rsidRPr="00AF7BE6">
        <w:rPr>
          <w:rFonts w:ascii="Times New Roman" w:eastAsia="Times New Roman" w:hAnsi="Times New Roman" w:cs="Times New Roman"/>
          <w:color w:val="000000"/>
          <w:shd w:val="clear" w:color="auto" w:fill="FFFFFF"/>
          <w:lang w:val="uk-UA"/>
        </w:rPr>
        <w:t>20</w:t>
      </w:r>
      <w:r w:rsidRPr="00AF7BE6">
        <w:rPr>
          <w:rFonts w:ascii="Times New Roman" w:eastAsia="Times New Roman" w:hAnsi="Times New Roman" w:cs="Times New Roman"/>
          <w:color w:val="000000"/>
          <w:shd w:val="clear" w:color="auto" w:fill="FFFFFF"/>
          <w:lang w:val="uk-UA"/>
        </w:rPr>
        <w:t xml:space="preserve"> рік.</w:t>
      </w:r>
    </w:p>
    <w:p w14:paraId="49FE3B8D" w14:textId="77777777" w:rsidR="00B63512" w:rsidRPr="00AF7BE6" w:rsidRDefault="00B63512" w:rsidP="00B63512">
      <w:pPr>
        <w:spacing w:after="0" w:line="240" w:lineRule="auto"/>
        <w:ind w:firstLine="709"/>
        <w:jc w:val="both"/>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Економічна оцінка фінансового стану Товариства на 01.01.</w:t>
      </w:r>
      <w:r w:rsidR="005D4EDB" w:rsidRPr="00AF7BE6">
        <w:rPr>
          <w:rFonts w:ascii="Times New Roman" w:eastAsia="Times New Roman" w:hAnsi="Times New Roman" w:cs="Times New Roman"/>
          <w:color w:val="000000"/>
          <w:shd w:val="clear" w:color="auto" w:fill="FFFFFF"/>
          <w:lang w:val="uk-UA"/>
        </w:rPr>
        <w:t>2020 року та на 31.12.2020</w:t>
      </w:r>
      <w:r w:rsidRPr="00AF7BE6">
        <w:rPr>
          <w:rFonts w:ascii="Times New Roman" w:eastAsia="Times New Roman" w:hAnsi="Times New Roman" w:cs="Times New Roman"/>
          <w:color w:val="000000"/>
          <w:shd w:val="clear" w:color="auto" w:fill="FFFFFF"/>
          <w:lang w:val="uk-UA"/>
        </w:rPr>
        <w:t xml:space="preserve"> року проводилась на підставі розрахунків наступних показників:</w:t>
      </w:r>
    </w:p>
    <w:p w14:paraId="393F6531" w14:textId="77777777" w:rsidR="00B63512" w:rsidRPr="00AF7BE6" w:rsidRDefault="008252B1" w:rsidP="00D63BBD">
      <w:pPr>
        <w:spacing w:after="0" w:line="276" w:lineRule="auto"/>
        <w:jc w:val="right"/>
        <w:rPr>
          <w:rFonts w:ascii="Times New Roman" w:eastAsia="Times New Roman" w:hAnsi="Times New Roman" w:cs="Times New Roman"/>
          <w:shd w:val="clear" w:color="auto" w:fill="FFFFFF"/>
          <w:lang w:val="uk-UA"/>
        </w:rPr>
      </w:pPr>
      <w:r w:rsidRPr="00AF7BE6">
        <w:rPr>
          <w:rFonts w:ascii="Times New Roman" w:eastAsia="Times New Roman" w:hAnsi="Times New Roman" w:cs="Times New Roman"/>
          <w:color w:val="000000"/>
          <w:shd w:val="clear" w:color="auto" w:fill="FFFFFF"/>
          <w:lang w:val="uk-UA"/>
        </w:rPr>
        <w:t>Т</w:t>
      </w:r>
      <w:r w:rsidR="00B63512" w:rsidRPr="00AF7BE6">
        <w:rPr>
          <w:rFonts w:ascii="Times New Roman" w:eastAsia="Times New Roman" w:hAnsi="Times New Roman" w:cs="Times New Roman"/>
          <w:color w:val="000000"/>
          <w:shd w:val="clear" w:color="auto" w:fill="FFFFFF"/>
          <w:lang w:val="uk-UA"/>
        </w:rPr>
        <w:t xml:space="preserve">аблиця </w:t>
      </w:r>
    </w:p>
    <w:tbl>
      <w:tblPr>
        <w:tblW w:w="0" w:type="auto"/>
        <w:tblInd w:w="70" w:type="dxa"/>
        <w:tblCellMar>
          <w:left w:w="10" w:type="dxa"/>
          <w:right w:w="10" w:type="dxa"/>
        </w:tblCellMar>
        <w:tblLook w:val="0000" w:firstRow="0" w:lastRow="0" w:firstColumn="0" w:lastColumn="0" w:noHBand="0" w:noVBand="0"/>
      </w:tblPr>
      <w:tblGrid>
        <w:gridCol w:w="4536"/>
        <w:gridCol w:w="1843"/>
        <w:gridCol w:w="1843"/>
        <w:gridCol w:w="2268"/>
      </w:tblGrid>
      <w:tr w:rsidR="00B63512" w:rsidRPr="00AF7BE6" w14:paraId="7BEFA6C6" w14:textId="77777777" w:rsidTr="00D63BBD">
        <w:trPr>
          <w:cantSplit/>
          <w:trHeight w:val="1"/>
        </w:trPr>
        <w:tc>
          <w:tcPr>
            <w:tcW w:w="453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019E1E4" w14:textId="77777777" w:rsidR="00B63512" w:rsidRPr="00AF7BE6" w:rsidRDefault="00B63512" w:rsidP="006A62CD">
            <w:pPr>
              <w:spacing w:after="0" w:line="240" w:lineRule="auto"/>
              <w:jc w:val="center"/>
              <w:rPr>
                <w:lang w:val="uk-UA"/>
              </w:rPr>
            </w:pPr>
            <w:r w:rsidRPr="00AF7BE6">
              <w:rPr>
                <w:rFonts w:ascii="Times New Roman" w:eastAsia="Times New Roman" w:hAnsi="Times New Roman" w:cs="Times New Roman"/>
                <w:b/>
                <w:i/>
                <w:color w:val="000000"/>
                <w:lang w:val="uk-UA"/>
              </w:rPr>
              <w:t>ПОКАЗНИК</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BFBC08C" w14:textId="77777777" w:rsidR="00B63512" w:rsidRPr="00AF7BE6" w:rsidRDefault="00B63512" w:rsidP="006A62CD">
            <w:pPr>
              <w:spacing w:after="0" w:line="240" w:lineRule="auto"/>
              <w:jc w:val="center"/>
              <w:rPr>
                <w:lang w:val="uk-UA"/>
              </w:rPr>
            </w:pPr>
            <w:r w:rsidRPr="00AF7BE6">
              <w:rPr>
                <w:rFonts w:ascii="Times New Roman" w:eastAsia="Times New Roman" w:hAnsi="Times New Roman" w:cs="Times New Roman"/>
                <w:b/>
                <w:i/>
                <w:color w:val="000000"/>
                <w:lang w:val="uk-UA"/>
              </w:rPr>
              <w:t>Оптимальне значення</w:t>
            </w:r>
          </w:p>
        </w:tc>
        <w:tc>
          <w:tcPr>
            <w:tcW w:w="4111"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41670BB" w14:textId="77777777" w:rsidR="00B63512" w:rsidRPr="00AF7BE6" w:rsidRDefault="00B63512" w:rsidP="006A62CD">
            <w:pPr>
              <w:spacing w:after="0" w:line="240" w:lineRule="auto"/>
              <w:ind w:firstLine="63"/>
              <w:jc w:val="center"/>
              <w:rPr>
                <w:lang w:val="uk-UA"/>
              </w:rPr>
            </w:pPr>
            <w:r w:rsidRPr="00AF7BE6">
              <w:rPr>
                <w:rFonts w:ascii="Times New Roman" w:eastAsia="Times New Roman" w:hAnsi="Times New Roman" w:cs="Times New Roman"/>
                <w:b/>
                <w:i/>
                <w:color w:val="000000"/>
                <w:lang w:val="uk-UA"/>
              </w:rPr>
              <w:t>ФАКТИЧНЕ  ЗНАЧЕННЯ</w:t>
            </w:r>
          </w:p>
        </w:tc>
      </w:tr>
      <w:tr w:rsidR="00B63512" w:rsidRPr="00AF7BE6" w14:paraId="5C3C03CA" w14:textId="77777777" w:rsidTr="00D63BBD">
        <w:tc>
          <w:tcPr>
            <w:tcW w:w="4536" w:type="dxa"/>
            <w:vMerge/>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3DDE8E6" w14:textId="77777777" w:rsidR="00B63512" w:rsidRPr="00AF7BE6" w:rsidRDefault="00B63512" w:rsidP="006A62CD">
            <w:pPr>
              <w:spacing w:after="200" w:line="276" w:lineRule="auto"/>
              <w:jc w:val="center"/>
              <w:rPr>
                <w:rFonts w:ascii="Calibri" w:eastAsia="Calibri" w:hAnsi="Calibri" w:cs="Calibri"/>
                <w:lang w:val="uk-UA"/>
              </w:rPr>
            </w:pPr>
          </w:p>
        </w:tc>
        <w:tc>
          <w:tcPr>
            <w:tcW w:w="1843" w:type="dxa"/>
            <w:vMerge/>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633C99D7" w14:textId="77777777" w:rsidR="00B63512" w:rsidRPr="00AF7BE6" w:rsidRDefault="00B63512" w:rsidP="006A62CD">
            <w:pPr>
              <w:spacing w:after="200" w:line="276" w:lineRule="auto"/>
              <w:jc w:val="center"/>
              <w:rPr>
                <w:rFonts w:ascii="Calibri" w:eastAsia="Calibri" w:hAnsi="Calibri" w:cs="Calibri"/>
                <w:lang w:val="uk-UA"/>
              </w:rPr>
            </w:pP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6E6C897" w14:textId="77777777" w:rsidR="00B63512" w:rsidRPr="00AF7BE6" w:rsidRDefault="005D4EDB" w:rsidP="006A62CD">
            <w:pPr>
              <w:spacing w:after="0" w:line="240" w:lineRule="auto"/>
              <w:ind w:firstLine="63"/>
              <w:jc w:val="center"/>
              <w:rPr>
                <w:lang w:val="uk-UA"/>
              </w:rPr>
            </w:pPr>
            <w:r w:rsidRPr="00AF7BE6">
              <w:rPr>
                <w:rFonts w:ascii="Times New Roman" w:eastAsia="Times New Roman" w:hAnsi="Times New Roman" w:cs="Times New Roman"/>
                <w:b/>
                <w:i/>
                <w:color w:val="000000"/>
                <w:lang w:val="uk-UA"/>
              </w:rPr>
              <w:t>На 01.01.2020</w:t>
            </w:r>
            <w:r w:rsidR="00B63512" w:rsidRPr="00AF7BE6">
              <w:rPr>
                <w:rFonts w:ascii="Times New Roman" w:eastAsia="Times New Roman" w:hAnsi="Times New Roman" w:cs="Times New Roman"/>
                <w:b/>
                <w:i/>
                <w:color w:val="000000"/>
                <w:lang w:val="uk-UA"/>
              </w:rPr>
              <w:t xml:space="preserve"> р.</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EAA0984" w14:textId="77777777" w:rsidR="00B63512" w:rsidRPr="00AF7BE6" w:rsidRDefault="005D4EDB" w:rsidP="006A62CD">
            <w:pPr>
              <w:spacing w:after="0" w:line="240" w:lineRule="auto"/>
              <w:jc w:val="center"/>
              <w:rPr>
                <w:lang w:val="uk-UA"/>
              </w:rPr>
            </w:pPr>
            <w:r w:rsidRPr="00AF7BE6">
              <w:rPr>
                <w:rFonts w:ascii="Times New Roman" w:eastAsia="Times New Roman" w:hAnsi="Times New Roman" w:cs="Times New Roman"/>
                <w:b/>
                <w:i/>
                <w:color w:val="000000"/>
                <w:lang w:val="uk-UA"/>
              </w:rPr>
              <w:t>На 31.12.2020</w:t>
            </w:r>
            <w:r w:rsidR="00B63512" w:rsidRPr="00AF7BE6">
              <w:rPr>
                <w:rFonts w:ascii="Times New Roman" w:eastAsia="Times New Roman" w:hAnsi="Times New Roman" w:cs="Times New Roman"/>
                <w:b/>
                <w:i/>
                <w:color w:val="000000"/>
                <w:lang w:val="uk-UA"/>
              </w:rPr>
              <w:t xml:space="preserve"> р.</w:t>
            </w:r>
          </w:p>
        </w:tc>
      </w:tr>
      <w:tr w:rsidR="00222101" w:rsidRPr="00AF7BE6" w14:paraId="27208678" w14:textId="77777777" w:rsidTr="00D63BBD">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56A3986" w14:textId="77777777" w:rsidR="00222101" w:rsidRPr="00AF7BE6" w:rsidRDefault="00222101" w:rsidP="006A62CD">
            <w:pPr>
              <w:spacing w:after="0" w:line="240" w:lineRule="auto"/>
              <w:jc w:val="center"/>
              <w:rPr>
                <w:lang w:val="uk-UA"/>
              </w:rPr>
            </w:pPr>
            <w:r w:rsidRPr="00AF7BE6">
              <w:rPr>
                <w:rFonts w:ascii="Times New Roman" w:eastAsia="Times New Roman" w:hAnsi="Times New Roman" w:cs="Times New Roman"/>
                <w:color w:val="000000"/>
                <w:lang w:val="uk-UA"/>
              </w:rPr>
              <w:t>1. Коефіцієнт абсолютної ліквідності</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72D74B0" w14:textId="77777777" w:rsidR="00222101" w:rsidRPr="00AF7BE6" w:rsidRDefault="00222101" w:rsidP="006A62CD">
            <w:pPr>
              <w:spacing w:after="0" w:line="240" w:lineRule="auto"/>
              <w:ind w:firstLine="3"/>
              <w:jc w:val="center"/>
              <w:rPr>
                <w:lang w:val="uk-UA"/>
              </w:rPr>
            </w:pPr>
            <w:r w:rsidRPr="00AF7BE6">
              <w:rPr>
                <w:rFonts w:ascii="Times New Roman" w:eastAsia="Times New Roman" w:hAnsi="Times New Roman" w:cs="Times New Roman"/>
                <w:color w:val="000000"/>
                <w:lang w:val="uk-UA"/>
              </w:rPr>
              <w:t>0,25…0,5</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5E267D2" w14:textId="7EDF6A52" w:rsidR="00222101" w:rsidRPr="00AF7BE6" w:rsidRDefault="00D47315" w:rsidP="00222101">
            <w:pPr>
              <w:jc w:val="center"/>
              <w:rPr>
                <w:rFonts w:ascii="Times New Roman" w:hAnsi="Times New Roman" w:cs="Times New Roman"/>
                <w:lang w:val="uk-UA"/>
              </w:rPr>
            </w:pPr>
            <w:r w:rsidRPr="00AF7BE6">
              <w:rPr>
                <w:rFonts w:ascii="Times New Roman" w:hAnsi="Times New Roman" w:cs="Times New Roman"/>
                <w:lang w:val="uk-UA"/>
              </w:rPr>
              <w:t>0,04</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59B59BA2" w14:textId="37EB055A" w:rsidR="00222101" w:rsidRPr="00AF7BE6" w:rsidRDefault="00D47315" w:rsidP="00D12C83">
            <w:pPr>
              <w:jc w:val="center"/>
              <w:rPr>
                <w:rFonts w:ascii="Times New Roman" w:hAnsi="Times New Roman" w:cs="Times New Roman"/>
                <w:lang w:val="uk-UA"/>
              </w:rPr>
            </w:pPr>
            <w:r w:rsidRPr="00AF7BE6">
              <w:rPr>
                <w:rFonts w:ascii="Times New Roman" w:hAnsi="Times New Roman" w:cs="Times New Roman"/>
                <w:lang w:val="uk-UA"/>
              </w:rPr>
              <w:t>0,00</w:t>
            </w:r>
          </w:p>
        </w:tc>
      </w:tr>
      <w:tr w:rsidR="00222101" w:rsidRPr="00AF7BE6" w14:paraId="3D26CB6D" w14:textId="77777777" w:rsidTr="00D63BBD">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5D383A9" w14:textId="77777777" w:rsidR="00222101" w:rsidRPr="00AF7BE6" w:rsidRDefault="00222101" w:rsidP="006A62CD">
            <w:pPr>
              <w:spacing w:after="0" w:line="240" w:lineRule="auto"/>
              <w:jc w:val="center"/>
              <w:rPr>
                <w:lang w:val="uk-UA"/>
              </w:rPr>
            </w:pPr>
            <w:r w:rsidRPr="00AF7BE6">
              <w:rPr>
                <w:rFonts w:ascii="Times New Roman" w:eastAsia="Times New Roman" w:hAnsi="Times New Roman" w:cs="Times New Roman"/>
                <w:color w:val="000000"/>
                <w:lang w:val="uk-UA"/>
              </w:rPr>
              <w:t>2. Коефіцієнт загальної ліквідності</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E6EAA9C" w14:textId="77777777" w:rsidR="00222101" w:rsidRPr="00AF7BE6" w:rsidRDefault="00222101" w:rsidP="006A62CD">
            <w:pPr>
              <w:spacing w:after="0" w:line="240" w:lineRule="auto"/>
              <w:ind w:firstLine="3"/>
              <w:jc w:val="center"/>
              <w:rPr>
                <w:lang w:val="uk-UA"/>
              </w:rPr>
            </w:pPr>
            <w:r w:rsidRPr="00AF7BE6">
              <w:rPr>
                <w:rFonts w:ascii="Times New Roman" w:eastAsia="Times New Roman" w:hAnsi="Times New Roman" w:cs="Times New Roman"/>
                <w:color w:val="000000"/>
                <w:lang w:val="uk-UA"/>
              </w:rPr>
              <w:t>&gt;1</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693EFB3" w14:textId="35F7A861" w:rsidR="00222101" w:rsidRPr="00AF7BE6" w:rsidRDefault="00EC2D7E" w:rsidP="00222101">
            <w:pPr>
              <w:jc w:val="center"/>
              <w:rPr>
                <w:rFonts w:ascii="Times New Roman" w:hAnsi="Times New Roman" w:cs="Times New Roman"/>
                <w:lang w:val="uk-UA"/>
              </w:rPr>
            </w:pPr>
            <w:r w:rsidRPr="00AF7BE6">
              <w:rPr>
                <w:rFonts w:ascii="Times New Roman" w:hAnsi="Times New Roman" w:cs="Times New Roman"/>
                <w:lang w:val="uk-UA"/>
              </w:rPr>
              <w:t>0,39</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645F7560" w14:textId="2EBC89A8" w:rsidR="00222101" w:rsidRPr="00AF7BE6" w:rsidRDefault="00EC2D7E" w:rsidP="00222101">
            <w:pPr>
              <w:jc w:val="center"/>
              <w:rPr>
                <w:rFonts w:ascii="Times New Roman" w:hAnsi="Times New Roman" w:cs="Times New Roman"/>
                <w:lang w:val="uk-UA"/>
              </w:rPr>
            </w:pPr>
            <w:r w:rsidRPr="00AF7BE6">
              <w:rPr>
                <w:rFonts w:ascii="Times New Roman" w:hAnsi="Times New Roman" w:cs="Times New Roman"/>
                <w:lang w:val="uk-UA"/>
              </w:rPr>
              <w:t>0,34</w:t>
            </w:r>
          </w:p>
        </w:tc>
      </w:tr>
      <w:tr w:rsidR="00B63512" w:rsidRPr="00AF7BE6" w14:paraId="1807CF4E" w14:textId="77777777" w:rsidTr="00D63BBD">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456EF7D" w14:textId="77777777" w:rsidR="00B63512" w:rsidRPr="00AF7BE6" w:rsidRDefault="00B63512" w:rsidP="006A62CD">
            <w:pPr>
              <w:spacing w:after="0" w:line="240" w:lineRule="auto"/>
              <w:jc w:val="center"/>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3. Коефіцієнт структури капіталу</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662E4E8C" w14:textId="77777777" w:rsidR="00B63512" w:rsidRPr="00AF7BE6" w:rsidRDefault="00B63512" w:rsidP="006620BA">
            <w:pPr>
              <w:spacing w:after="0" w:line="240" w:lineRule="auto"/>
              <w:jc w:val="center"/>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&lt;1</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9883D49" w14:textId="1E0DD013" w:rsidR="00B63512" w:rsidRPr="00AF7BE6" w:rsidRDefault="002163C1" w:rsidP="006620BA">
            <w:pPr>
              <w:spacing w:after="0" w:line="240" w:lineRule="auto"/>
              <w:jc w:val="center"/>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-2,44</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AA3C6A1" w14:textId="7B8A940F" w:rsidR="00B63512" w:rsidRPr="00AF7BE6" w:rsidRDefault="002163C1" w:rsidP="006620BA">
            <w:pPr>
              <w:spacing w:after="0" w:line="240" w:lineRule="auto"/>
              <w:jc w:val="center"/>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-2,18</w:t>
            </w:r>
          </w:p>
        </w:tc>
      </w:tr>
      <w:tr w:rsidR="00B63512" w:rsidRPr="00AF7BE6" w14:paraId="213ED9E9" w14:textId="77777777" w:rsidTr="00D63BBD">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EA89B61" w14:textId="77777777" w:rsidR="00B63512" w:rsidRPr="00AF7BE6" w:rsidRDefault="00B63512" w:rsidP="006A62CD">
            <w:pPr>
              <w:spacing w:after="0" w:line="240" w:lineRule="auto"/>
              <w:jc w:val="center"/>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4. Коефіцієнт рентабельності активів</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55DD359" w14:textId="77777777" w:rsidR="00B63512" w:rsidRPr="00AF7BE6" w:rsidRDefault="00B63512" w:rsidP="006620BA">
            <w:pPr>
              <w:spacing w:after="0" w:line="240" w:lineRule="auto"/>
              <w:jc w:val="center"/>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Якнайбільше</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B81C198" w14:textId="36202585" w:rsidR="00B63512" w:rsidRPr="00AF7BE6" w:rsidRDefault="004B2F59" w:rsidP="00222101">
            <w:pPr>
              <w:jc w:val="center"/>
              <w:rPr>
                <w:rFonts w:ascii="Times New Roman" w:hAnsi="Times New Roman" w:cs="Times New Roman"/>
                <w:lang w:val="uk-UA"/>
              </w:rPr>
            </w:pPr>
            <w:r w:rsidRPr="00AF7BE6">
              <w:rPr>
                <w:rFonts w:ascii="Times New Roman" w:hAnsi="Times New Roman" w:cs="Times New Roman"/>
                <w:lang w:val="uk-UA"/>
              </w:rPr>
              <w:t>-</w:t>
            </w:r>
            <w:r w:rsidR="00AE4324" w:rsidRPr="00AF7BE6">
              <w:rPr>
                <w:rFonts w:ascii="Times New Roman" w:hAnsi="Times New Roman" w:cs="Times New Roman"/>
                <w:lang w:val="uk-UA"/>
              </w:rPr>
              <w:t>0,0</w:t>
            </w:r>
            <w:r w:rsidRPr="00AF7BE6">
              <w:rPr>
                <w:rFonts w:ascii="Times New Roman" w:hAnsi="Times New Roman" w:cs="Times New Roman"/>
                <w:lang w:val="uk-UA"/>
              </w:rPr>
              <w:t>1</w:t>
            </w:r>
            <w:r w:rsidR="00AE4324" w:rsidRPr="00AF7BE6">
              <w:rPr>
                <w:rFonts w:ascii="Times New Roman" w:hAnsi="Times New Roman" w:cs="Times New Roman"/>
                <w:lang w:val="uk-UA"/>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5BECA9E7" w14:textId="78EB6F54" w:rsidR="00B63512" w:rsidRPr="00AF7BE6" w:rsidRDefault="0030335E" w:rsidP="00222101">
            <w:pPr>
              <w:jc w:val="center"/>
              <w:rPr>
                <w:rFonts w:ascii="Times New Roman" w:hAnsi="Times New Roman" w:cs="Times New Roman"/>
                <w:lang w:val="uk-UA"/>
              </w:rPr>
            </w:pPr>
            <w:r w:rsidRPr="00AF7BE6">
              <w:rPr>
                <w:rFonts w:ascii="Times New Roman" w:hAnsi="Times New Roman" w:cs="Times New Roman"/>
                <w:lang w:val="uk-UA"/>
              </w:rPr>
              <w:t>-0,17</w:t>
            </w:r>
            <w:r w:rsidR="00AE4324" w:rsidRPr="00AF7BE6">
              <w:rPr>
                <w:rFonts w:ascii="Times New Roman" w:hAnsi="Times New Roman" w:cs="Times New Roman"/>
                <w:lang w:val="uk-UA"/>
              </w:rPr>
              <w:t>%</w:t>
            </w:r>
          </w:p>
        </w:tc>
      </w:tr>
    </w:tbl>
    <w:p w14:paraId="033A9511" w14:textId="77777777" w:rsidR="005D4EDB" w:rsidRPr="00AF7BE6" w:rsidRDefault="005D4EDB" w:rsidP="00A01C31">
      <w:pPr>
        <w:tabs>
          <w:tab w:val="left" w:pos="9540"/>
        </w:tabs>
        <w:spacing w:after="0" w:line="240" w:lineRule="auto"/>
        <w:ind w:right="-185" w:firstLine="567"/>
        <w:rPr>
          <w:rFonts w:ascii="Times New Roman" w:eastAsia="Times New Roman" w:hAnsi="Times New Roman" w:cs="Times New Roman"/>
          <w:b/>
          <w:color w:val="000000"/>
          <w:lang w:val="uk-UA"/>
        </w:rPr>
      </w:pPr>
    </w:p>
    <w:p w14:paraId="79756359" w14:textId="77777777" w:rsidR="00D920B2" w:rsidRPr="00AF7BE6" w:rsidRDefault="00D920B2" w:rsidP="00A01C31">
      <w:pPr>
        <w:tabs>
          <w:tab w:val="left" w:pos="9540"/>
        </w:tabs>
        <w:spacing w:after="0" w:line="240" w:lineRule="auto"/>
        <w:ind w:right="-185" w:firstLine="567"/>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Інформація про пов’язаних осіб</w:t>
      </w:r>
    </w:p>
    <w:p w14:paraId="277133B0" w14:textId="77777777" w:rsidR="00D920B2" w:rsidRPr="00AF7BE6" w:rsidRDefault="00D920B2" w:rsidP="00D920B2">
      <w:pPr>
        <w:spacing w:after="0" w:line="240" w:lineRule="auto"/>
        <w:ind w:firstLine="709"/>
        <w:jc w:val="both"/>
        <w:rPr>
          <w:rFonts w:ascii="Times New Roman" w:eastAsia="Times New Roman" w:hAnsi="Times New Roman" w:cs="Times New Roman"/>
          <w:color w:val="000000"/>
          <w:sz w:val="12"/>
          <w:lang w:val="uk-UA"/>
        </w:rPr>
      </w:pPr>
    </w:p>
    <w:p w14:paraId="3CD8B623" w14:textId="77777777" w:rsidR="00D96B0B" w:rsidRPr="00AF7BE6" w:rsidRDefault="00D920B2" w:rsidP="00D96B0B">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Відповідно до вимог МСА 550 «Пов’язані особи» аудитори звертались до управлінського персоналу  із запитом щодо надання списку пов’язаних осіб  та, за наявності таких осіб, характеру  операцій з ними, а також провели достатні аудиторські процедури, незалежно від наданого запиту з метою впевненості щодо наявності </w:t>
      </w:r>
      <w:r w:rsidR="00D96B0B" w:rsidRPr="00AF7BE6">
        <w:rPr>
          <w:rFonts w:ascii="Times New Roman" w:eastAsia="Times New Roman" w:hAnsi="Times New Roman" w:cs="Times New Roman"/>
          <w:color w:val="000000"/>
          <w:lang w:val="uk-UA"/>
        </w:rPr>
        <w:t>або відсутності таких операцій.</w:t>
      </w:r>
    </w:p>
    <w:p w14:paraId="60D03654" w14:textId="77777777" w:rsidR="005D4EDB" w:rsidRPr="00AF7BE6" w:rsidRDefault="005D4EDB" w:rsidP="005D4EDB">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Протягом 2020 року пов’язаними сторонами Товариства були:</w:t>
      </w:r>
    </w:p>
    <w:p w14:paraId="2EC117A6" w14:textId="54928FAE" w:rsidR="00AE4324" w:rsidRPr="00AF7BE6" w:rsidRDefault="00AE4324" w:rsidP="00AE4324">
      <w:pPr>
        <w:pStyle w:val="ae"/>
        <w:widowControl w:val="0"/>
        <w:numPr>
          <w:ilvl w:val="0"/>
          <w:numId w:val="16"/>
        </w:numPr>
        <w:spacing w:after="0" w:line="240" w:lineRule="auto"/>
        <w:jc w:val="both"/>
        <w:rPr>
          <w:rFonts w:ascii="Times New Roman" w:eastAsia="Times New Roman" w:hAnsi="Times New Roman" w:cs="Times New Roman"/>
          <w:snapToGrid w:val="0"/>
          <w:color w:val="000000"/>
          <w:sz w:val="24"/>
          <w:shd w:val="clear" w:color="auto" w:fill="FFFFFF"/>
          <w:lang w:val="uk-UA"/>
        </w:rPr>
      </w:pPr>
      <w:r w:rsidRPr="00AF7BE6">
        <w:rPr>
          <w:rFonts w:ascii="Times New Roman" w:eastAsia="Times New Roman" w:hAnsi="Times New Roman" w:cs="Times New Roman"/>
          <w:color w:val="000000"/>
          <w:lang w:val="uk-UA"/>
        </w:rPr>
        <w:t xml:space="preserve">Керівник – </w:t>
      </w:r>
      <w:r w:rsidR="00693171" w:rsidRPr="00AF7BE6">
        <w:rPr>
          <w:rFonts w:ascii="Times New Roman" w:eastAsia="Times New Roman" w:hAnsi="Times New Roman" w:cs="Times New Roman"/>
          <w:snapToGrid w:val="0"/>
          <w:color w:val="000000"/>
          <w:shd w:val="clear" w:color="auto" w:fill="FFFFFF"/>
          <w:lang w:val="uk-UA"/>
        </w:rPr>
        <w:t>Федотов Геннадій Іванович</w:t>
      </w:r>
      <w:r w:rsidR="000E2B5F" w:rsidRPr="00AF7BE6">
        <w:rPr>
          <w:rFonts w:ascii="Times New Roman" w:eastAsia="Times New Roman" w:hAnsi="Times New Roman" w:cs="Times New Roman"/>
          <w:snapToGrid w:val="0"/>
          <w:color w:val="000000"/>
          <w:shd w:val="clear" w:color="auto" w:fill="FFFFFF"/>
          <w:lang w:val="uk-UA"/>
        </w:rPr>
        <w:t>.</w:t>
      </w:r>
    </w:p>
    <w:p w14:paraId="40B4FAB2" w14:textId="3A1142C7" w:rsidR="00AE4324" w:rsidRPr="00AF7BE6" w:rsidRDefault="00AE4324" w:rsidP="00AE4324">
      <w:pPr>
        <w:pStyle w:val="ae"/>
        <w:widowControl w:val="0"/>
        <w:numPr>
          <w:ilvl w:val="0"/>
          <w:numId w:val="16"/>
        </w:numPr>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lang w:val="uk-UA"/>
        </w:rPr>
        <w:t>Головний бухгалтер –</w:t>
      </w:r>
      <w:r w:rsidR="00693171" w:rsidRPr="00AF7BE6">
        <w:rPr>
          <w:rFonts w:ascii="Times New Roman" w:eastAsia="Times New Roman" w:hAnsi="Times New Roman" w:cs="Times New Roman"/>
          <w:color w:val="000000"/>
          <w:lang w:val="uk-UA"/>
        </w:rPr>
        <w:t xml:space="preserve"> Полосухіна Світлана Анатоліївна</w:t>
      </w:r>
      <w:r w:rsidR="000E2B5F" w:rsidRPr="00AF7BE6">
        <w:rPr>
          <w:rFonts w:ascii="Times New Roman" w:eastAsia="Times New Roman" w:hAnsi="Times New Roman" w:cs="Times New Roman"/>
          <w:color w:val="000000"/>
          <w:lang w:val="uk-UA"/>
        </w:rPr>
        <w:t>.</w:t>
      </w:r>
      <w:r w:rsidRPr="00AF7BE6">
        <w:rPr>
          <w:rFonts w:ascii="Times New Roman" w:eastAsia="Times New Roman" w:hAnsi="Times New Roman" w:cs="Times New Roman"/>
          <w:color w:val="000000"/>
          <w:lang w:val="uk-UA"/>
        </w:rPr>
        <w:t xml:space="preserve"> </w:t>
      </w:r>
    </w:p>
    <w:p w14:paraId="7A024BC3" w14:textId="77777777" w:rsidR="005D4EDB" w:rsidRPr="00AF7BE6" w:rsidRDefault="005D4EDB" w:rsidP="005D4EDB">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Інших пов’язаних сторін Товариство  не має.</w:t>
      </w:r>
    </w:p>
    <w:p w14:paraId="45217485" w14:textId="77777777" w:rsidR="005D4EDB" w:rsidRPr="00AF7BE6" w:rsidRDefault="005D4EDB" w:rsidP="005D4EDB">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Протягом 2020 року операції з пов’язаними сторонами здійснювалися в рамках звичайної господарської діяльності Товариства.</w:t>
      </w:r>
    </w:p>
    <w:p w14:paraId="2F7FF5BF" w14:textId="77777777" w:rsidR="000419BA" w:rsidRPr="00AF7BE6" w:rsidRDefault="000419BA" w:rsidP="000419BA">
      <w:pPr>
        <w:spacing w:after="0" w:line="240" w:lineRule="auto"/>
        <w:ind w:firstLine="567"/>
        <w:jc w:val="both"/>
        <w:rPr>
          <w:rFonts w:ascii="Times New Roman" w:eastAsia="Times New Roman" w:hAnsi="Times New Roman" w:cs="Times New Roman"/>
          <w:color w:val="000000"/>
          <w:lang w:val="uk-UA"/>
        </w:rPr>
      </w:pPr>
    </w:p>
    <w:p w14:paraId="5B037BA6" w14:textId="77777777" w:rsidR="00186CE4" w:rsidRPr="00AF7BE6" w:rsidRDefault="00186CE4" w:rsidP="00A01C31">
      <w:pPr>
        <w:tabs>
          <w:tab w:val="left" w:pos="9540"/>
        </w:tabs>
        <w:spacing w:after="0" w:line="240" w:lineRule="auto"/>
        <w:ind w:right="-185" w:firstLine="567"/>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Події після дати балансу</w:t>
      </w:r>
    </w:p>
    <w:p w14:paraId="2FAB7249" w14:textId="77777777" w:rsidR="00186CE4" w:rsidRPr="00AF7BE6" w:rsidRDefault="00186CE4" w:rsidP="00186CE4">
      <w:pPr>
        <w:spacing w:after="0" w:line="240" w:lineRule="auto"/>
        <w:jc w:val="both"/>
        <w:rPr>
          <w:rFonts w:ascii="Times New Roman" w:eastAsia="Times New Roman" w:hAnsi="Times New Roman" w:cs="Times New Roman"/>
          <w:color w:val="000000"/>
          <w:sz w:val="12"/>
          <w:lang w:val="uk-UA"/>
        </w:rPr>
      </w:pPr>
    </w:p>
    <w:p w14:paraId="5F4C3255" w14:textId="77777777" w:rsidR="00186CE4" w:rsidRPr="00AF7BE6" w:rsidRDefault="00186CE4" w:rsidP="00A01C31">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lastRenderedPageBreak/>
        <w:t>Аудитори дослідили інформацію про наявність подій після дати балансу, які не знайшли відображення у фінансовій звітності, проте можуть мати суттєвий вплив на фінансовий стан Товариства.</w:t>
      </w:r>
    </w:p>
    <w:p w14:paraId="0933E297" w14:textId="2FC17489" w:rsidR="00186CE4" w:rsidRPr="00AF7BE6" w:rsidRDefault="00186CE4" w:rsidP="00A01C31">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Аудитори не отримали аудиторські докази того, що фінансова звітність була суттєво викривлена, у зв’язку з вищенаведеною інформацію, що розкривається Товариством та подається до </w:t>
      </w:r>
      <w:r w:rsidR="00503EA9" w:rsidRPr="00AF7BE6">
        <w:rPr>
          <w:rFonts w:ascii="Times New Roman" w:eastAsia="Times New Roman" w:hAnsi="Times New Roman" w:cs="Times New Roman"/>
          <w:color w:val="000000"/>
          <w:lang w:val="uk-UA"/>
        </w:rPr>
        <w:t>Національної комісії з цінних паперів та фондового ринку.</w:t>
      </w:r>
    </w:p>
    <w:p w14:paraId="26886A10" w14:textId="77777777" w:rsidR="00186CE4" w:rsidRPr="00AF7BE6" w:rsidRDefault="00186CE4" w:rsidP="00A01C31">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Подією після звітної дати визнається факт господарської діяльності, який надав інформацію про ситуації на дату фінансових звітів, що можуть потребувати  коригувань або про ситуації, що виникли після дати складання фінансової звітності, які можуть потребувати розкриття або може вплинути на фінансовий стан, рух грошових коштів або результати діяльності організації і який мав місце в період між звітною датою і датою підписання бухгалтерської звітності за звітний рік (згідно МСА 560 "Подальші події").</w:t>
      </w:r>
    </w:p>
    <w:p w14:paraId="5A59ABEC" w14:textId="77777777" w:rsidR="00186CE4" w:rsidRPr="00AF7BE6" w:rsidRDefault="00186CE4" w:rsidP="00A01C31">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Аудитори підтверджують на дату проведення аудиту відсутність подій після дати балансу,  наявність яких потребує необхідність проведення коригування фінансової звітності.</w:t>
      </w:r>
    </w:p>
    <w:p w14:paraId="3D255AD8" w14:textId="77777777" w:rsidR="00186CE4" w:rsidRPr="00AF7BE6" w:rsidRDefault="00186CE4" w:rsidP="00A01C31">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Нами було також розглянуто, чи існують події або умови, які можуть поставити під значний сумнів здатність суб’єкта господарювання безперервно продовжувати діяльність, оцінені оцінки управлінського персоналу щодо здатності суб’єкта господарювання безперервно продовжувати діяльність згідно до вимог МСА 570 «Безперервність» та визначено, що не  існує суттєвої невизначеності, що стосується подій або умов, які окремо або в сукупності можуть поставити під значний сумнів здатність суб’єкта господарювання безперервно продовжувати діяльність. Аудитори дійшли впевненості у тому, що загроза безперервності діяльності відсутня.</w:t>
      </w:r>
    </w:p>
    <w:p w14:paraId="5D1AEFB3" w14:textId="77777777" w:rsidR="006F000F" w:rsidRPr="00AF7BE6" w:rsidRDefault="006F000F" w:rsidP="006F000F">
      <w:pPr>
        <w:spacing w:after="0" w:line="240" w:lineRule="auto"/>
        <w:ind w:firstLine="567"/>
        <w:jc w:val="both"/>
        <w:rPr>
          <w:rFonts w:ascii="Times New Roman" w:eastAsia="Times New Roman" w:hAnsi="Times New Roman" w:cs="Times New Roman"/>
          <w:color w:val="000000"/>
          <w:lang w:val="uk-UA"/>
        </w:rPr>
      </w:pPr>
    </w:p>
    <w:p w14:paraId="6D6AA10F" w14:textId="77777777" w:rsidR="00192F67" w:rsidRPr="00AF7BE6" w:rsidRDefault="00192F67" w:rsidP="00192F67">
      <w:pPr>
        <w:tabs>
          <w:tab w:val="left" w:pos="9540"/>
        </w:tabs>
        <w:spacing w:line="240" w:lineRule="auto"/>
        <w:ind w:right="-185" w:firstLine="567"/>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 зокрема про склад і структуру фінансових інвестицій</w:t>
      </w:r>
    </w:p>
    <w:p w14:paraId="2EB1A008" w14:textId="77777777" w:rsidR="00192F67" w:rsidRPr="00AF7BE6" w:rsidRDefault="00192F67" w:rsidP="00192F67">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В ході аудиторської перевірки аудиторами не було виявлено інформації про наявність інших фактів та обставин, які можуть суттєво вплинути на діяльність Товариства у майбутньому.</w:t>
      </w:r>
    </w:p>
    <w:p w14:paraId="6F5515D1" w14:textId="77777777" w:rsidR="00DD7DC6" w:rsidRPr="00AF7BE6" w:rsidRDefault="003A6DAA" w:rsidP="00DD7DC6">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Станом на 31.12.20</w:t>
      </w:r>
      <w:r w:rsidR="00B400E2" w:rsidRPr="00AF7BE6">
        <w:rPr>
          <w:rFonts w:ascii="Times New Roman" w:eastAsia="Times New Roman" w:hAnsi="Times New Roman" w:cs="Times New Roman"/>
          <w:color w:val="000000"/>
          <w:lang w:val="uk-UA"/>
        </w:rPr>
        <w:t>20</w:t>
      </w:r>
      <w:r w:rsidRPr="00AF7BE6">
        <w:rPr>
          <w:rFonts w:ascii="Times New Roman" w:eastAsia="Times New Roman" w:hAnsi="Times New Roman" w:cs="Times New Roman"/>
          <w:color w:val="000000"/>
          <w:lang w:val="uk-UA"/>
        </w:rPr>
        <w:t xml:space="preserve"> року Товариство </w:t>
      </w:r>
      <w:r w:rsidR="00DD7DC6" w:rsidRPr="00AF7BE6">
        <w:rPr>
          <w:rFonts w:ascii="Times New Roman" w:eastAsia="Times New Roman" w:hAnsi="Times New Roman" w:cs="Times New Roman"/>
          <w:color w:val="000000"/>
          <w:lang w:val="uk-UA"/>
        </w:rPr>
        <w:t xml:space="preserve">не </w:t>
      </w:r>
      <w:r w:rsidRPr="00AF7BE6">
        <w:rPr>
          <w:rFonts w:ascii="Times New Roman" w:eastAsia="Times New Roman" w:hAnsi="Times New Roman" w:cs="Times New Roman"/>
          <w:color w:val="000000"/>
          <w:lang w:val="uk-UA"/>
        </w:rPr>
        <w:t xml:space="preserve">має </w:t>
      </w:r>
      <w:r w:rsidR="00DD7DC6" w:rsidRPr="00AF7BE6">
        <w:rPr>
          <w:rFonts w:ascii="Times New Roman" w:eastAsia="Times New Roman" w:hAnsi="Times New Roman" w:cs="Times New Roman"/>
          <w:color w:val="000000"/>
          <w:lang w:val="uk-UA"/>
        </w:rPr>
        <w:t>фінансових інвестиції.</w:t>
      </w:r>
    </w:p>
    <w:p w14:paraId="2E32D4A2" w14:textId="77777777" w:rsidR="00DD7DC6" w:rsidRPr="00AF7BE6" w:rsidRDefault="00DD7DC6" w:rsidP="00DD7DC6">
      <w:pPr>
        <w:spacing w:after="0" w:line="240" w:lineRule="auto"/>
        <w:ind w:firstLine="567"/>
        <w:jc w:val="both"/>
        <w:rPr>
          <w:rFonts w:ascii="Times New Roman" w:eastAsia="Times New Roman" w:hAnsi="Times New Roman" w:cs="Times New Roman"/>
          <w:color w:val="000000"/>
          <w:lang w:val="uk-UA"/>
        </w:rPr>
      </w:pPr>
    </w:p>
    <w:p w14:paraId="6F141F4B" w14:textId="77777777" w:rsidR="00AF22A5" w:rsidRPr="00AF7BE6" w:rsidRDefault="00AF22A5" w:rsidP="00DD7DC6">
      <w:pPr>
        <w:spacing w:after="0" w:line="240" w:lineRule="auto"/>
        <w:ind w:firstLine="567"/>
        <w:jc w:val="both"/>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Інформація про наявність та обсяг непередбачених активів та/або зобов’язань, ймовірність визнання яких на балансі є достатньо високою</w:t>
      </w:r>
    </w:p>
    <w:p w14:paraId="72017548" w14:textId="77777777" w:rsidR="00DD7DC6" w:rsidRPr="00AF7BE6" w:rsidRDefault="00DD7DC6" w:rsidP="00DD7DC6">
      <w:pPr>
        <w:spacing w:after="0" w:line="240" w:lineRule="auto"/>
        <w:ind w:firstLine="567"/>
        <w:jc w:val="both"/>
        <w:rPr>
          <w:rFonts w:ascii="Times New Roman" w:eastAsia="Times New Roman" w:hAnsi="Times New Roman" w:cs="Times New Roman"/>
          <w:b/>
          <w:color w:val="000000"/>
          <w:lang w:val="uk-UA"/>
        </w:rPr>
      </w:pPr>
    </w:p>
    <w:p w14:paraId="3CFD40DE" w14:textId="77777777" w:rsidR="00AF22A5" w:rsidRPr="00AF7BE6" w:rsidRDefault="00AF22A5" w:rsidP="005D5BC4">
      <w:pPr>
        <w:spacing w:after="0" w:line="240" w:lineRule="auto"/>
        <w:ind w:firstLine="567"/>
        <w:jc w:val="both"/>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 xml:space="preserve">В ході аудиторської перевірки аудиторами факту про наявність та обсяг непередбачених активів/або зобов’язань, ймовірність визнання яких на балансі є </w:t>
      </w:r>
      <w:r w:rsidR="005D5BC4" w:rsidRPr="00AF7BE6">
        <w:rPr>
          <w:rFonts w:ascii="Times New Roman" w:eastAsia="Times New Roman" w:hAnsi="Times New Roman" w:cs="Times New Roman"/>
          <w:color w:val="000000"/>
          <w:lang w:val="uk-UA"/>
        </w:rPr>
        <w:t xml:space="preserve">достатньо високою не виявлено. </w:t>
      </w:r>
    </w:p>
    <w:p w14:paraId="5AAE6C46" w14:textId="77777777" w:rsidR="005D5BC4" w:rsidRPr="00AF7BE6" w:rsidRDefault="005D5BC4" w:rsidP="005D5BC4">
      <w:pPr>
        <w:spacing w:after="0" w:line="240" w:lineRule="auto"/>
        <w:ind w:firstLine="567"/>
        <w:jc w:val="both"/>
        <w:rPr>
          <w:rFonts w:ascii="Times New Roman" w:eastAsia="Times New Roman" w:hAnsi="Times New Roman" w:cs="Times New Roman"/>
          <w:color w:val="000000"/>
          <w:lang w:val="uk-UA"/>
        </w:rPr>
      </w:pPr>
    </w:p>
    <w:p w14:paraId="707C9B49" w14:textId="77777777" w:rsidR="00AF22A5" w:rsidRPr="00AF7BE6" w:rsidRDefault="00AF22A5" w:rsidP="00AF22A5">
      <w:pPr>
        <w:pStyle w:val="rvps2"/>
        <w:shd w:val="clear" w:color="auto" w:fill="FFFFFF"/>
        <w:spacing w:before="0" w:beforeAutospacing="0" w:after="0" w:afterAutospacing="0"/>
        <w:ind w:firstLine="709"/>
        <w:contextualSpacing/>
        <w:jc w:val="both"/>
        <w:rPr>
          <w:b/>
          <w:color w:val="000000" w:themeColor="text1"/>
          <w:sz w:val="22"/>
          <w:szCs w:val="22"/>
          <w:lang w:val="uk-UA"/>
        </w:rPr>
      </w:pPr>
      <w:r w:rsidRPr="00AF7BE6">
        <w:rPr>
          <w:b/>
          <w:color w:val="000000" w:themeColor="text1"/>
          <w:sz w:val="22"/>
          <w:szCs w:val="22"/>
          <w:lang w:val="uk-UA"/>
        </w:rPr>
        <w:t>Інформація щодо іншої фінансової звітності відповідно до Законів України та нормативно-правових актів Комісії</w:t>
      </w:r>
    </w:p>
    <w:p w14:paraId="775E21E6" w14:textId="77777777" w:rsidR="00AF22A5" w:rsidRPr="00AF7BE6" w:rsidRDefault="00AF22A5" w:rsidP="00AF22A5">
      <w:pPr>
        <w:pStyle w:val="rvps2"/>
        <w:shd w:val="clear" w:color="auto" w:fill="FFFFFF"/>
        <w:spacing w:before="0" w:beforeAutospacing="0" w:after="0" w:afterAutospacing="0"/>
        <w:ind w:firstLine="709"/>
        <w:contextualSpacing/>
        <w:jc w:val="both"/>
        <w:rPr>
          <w:b/>
          <w:color w:val="000000" w:themeColor="text1"/>
          <w:sz w:val="22"/>
          <w:szCs w:val="22"/>
          <w:lang w:val="uk-UA"/>
        </w:rPr>
      </w:pPr>
    </w:p>
    <w:p w14:paraId="7147616C" w14:textId="77777777" w:rsidR="00AF22A5" w:rsidRPr="00AF7BE6" w:rsidRDefault="00AF22A5" w:rsidP="00D47318">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Перевірка іншої фінансової інформації проводилась на підставі МСА 720 «Відповідальність аудитора щодо іншої інформації в документах, що містять перевірену аудитором фінансову звітність». Для отримання розуміння наявності суттєвої невідповідності або викривлення фактів між іншою інформацією та перевіреною аудиторами фінансовою звітністю виконувались аудиторами запити до управлінського персоналу Товариства та аналітичні процедури. Суттєвих невідповідностей між фінансовою звітністю, що підлягала аудиту та іншою інформацією не встановлено.</w:t>
      </w:r>
    </w:p>
    <w:p w14:paraId="5A716997" w14:textId="77777777" w:rsidR="00D47318" w:rsidRPr="00AF7BE6" w:rsidRDefault="00D47318" w:rsidP="00D47318">
      <w:pPr>
        <w:pStyle w:val="rvps2"/>
        <w:shd w:val="clear" w:color="auto" w:fill="FFFFFF"/>
        <w:spacing w:before="0" w:beforeAutospacing="0" w:after="0" w:afterAutospacing="0"/>
        <w:ind w:firstLine="709"/>
        <w:contextualSpacing/>
        <w:jc w:val="both"/>
        <w:rPr>
          <w:b/>
          <w:color w:val="000000" w:themeColor="text1"/>
          <w:sz w:val="22"/>
          <w:szCs w:val="22"/>
          <w:lang w:val="uk-UA"/>
        </w:rPr>
      </w:pPr>
    </w:p>
    <w:p w14:paraId="4BEC9B59" w14:textId="77777777" w:rsidR="00D47318" w:rsidRPr="00AF7BE6" w:rsidRDefault="00D47318" w:rsidP="001F0B47">
      <w:pPr>
        <w:pStyle w:val="rvps2"/>
        <w:shd w:val="clear" w:color="auto" w:fill="FFFFFF"/>
        <w:spacing w:before="0" w:beforeAutospacing="0" w:after="240" w:afterAutospacing="0"/>
        <w:contextualSpacing/>
        <w:jc w:val="both"/>
        <w:rPr>
          <w:b/>
          <w:sz w:val="22"/>
          <w:szCs w:val="22"/>
          <w:lang w:val="uk-UA"/>
        </w:rPr>
      </w:pPr>
      <w:r w:rsidRPr="00AF7BE6">
        <w:rPr>
          <w:b/>
          <w:sz w:val="22"/>
          <w:szCs w:val="22"/>
          <w:lang w:val="uk-UA"/>
        </w:rPr>
        <w:t>ІНФОРМАЦІЯ ЩО НЕ Є ФІНАНСОВОЮ ЗВІТНІСТЮ ТА ЗВІТОМ АУДИТОРА ЩОДО НЕЇ</w:t>
      </w:r>
    </w:p>
    <w:p w14:paraId="4F1088D6" w14:textId="77777777" w:rsidR="001F0B47" w:rsidRPr="00AF7BE6" w:rsidRDefault="001F0B47" w:rsidP="001F0B47">
      <w:pPr>
        <w:pStyle w:val="rvps2"/>
        <w:shd w:val="clear" w:color="auto" w:fill="FFFFFF"/>
        <w:spacing w:before="240" w:beforeAutospacing="0" w:after="0" w:afterAutospacing="0"/>
        <w:ind w:firstLine="567"/>
        <w:contextualSpacing/>
        <w:jc w:val="both"/>
        <w:rPr>
          <w:sz w:val="22"/>
          <w:szCs w:val="22"/>
          <w:lang w:val="uk-UA"/>
        </w:rPr>
      </w:pPr>
    </w:p>
    <w:p w14:paraId="485E5BF9" w14:textId="77777777" w:rsidR="00D47318" w:rsidRPr="00AF7BE6" w:rsidRDefault="00D47318" w:rsidP="001F0B47">
      <w:pPr>
        <w:pStyle w:val="rvps2"/>
        <w:shd w:val="clear" w:color="auto" w:fill="FFFFFF"/>
        <w:spacing w:before="240" w:beforeAutospacing="0" w:after="0" w:afterAutospacing="0"/>
        <w:ind w:firstLine="567"/>
        <w:contextualSpacing/>
        <w:jc w:val="both"/>
        <w:rPr>
          <w:sz w:val="22"/>
          <w:szCs w:val="22"/>
          <w:lang w:val="uk-UA"/>
        </w:rPr>
      </w:pPr>
      <w:r w:rsidRPr="00AF7BE6">
        <w:rPr>
          <w:sz w:val="22"/>
          <w:szCs w:val="22"/>
          <w:lang w:val="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ознайомлення з іншою інформацією.</w:t>
      </w:r>
    </w:p>
    <w:p w14:paraId="66FB3E50" w14:textId="77777777" w:rsidR="00D47318" w:rsidRPr="00AF7BE6" w:rsidRDefault="00D47318" w:rsidP="00D47318">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Аудитор ознайомився з інформацією, що наведена у Звіті про управління складеного відповідно до  Закону України «Про бухгал</w:t>
      </w:r>
      <w:bookmarkStart w:id="3" w:name="_GoBack"/>
      <w:bookmarkEnd w:id="3"/>
      <w:r w:rsidRPr="00AF7BE6">
        <w:rPr>
          <w:sz w:val="22"/>
          <w:szCs w:val="22"/>
          <w:lang w:val="uk-UA"/>
        </w:rPr>
        <w:t>терський облік та фінансову звітніс</w:t>
      </w:r>
      <w:r w:rsidR="00076C1F" w:rsidRPr="00AF7BE6">
        <w:rPr>
          <w:sz w:val="22"/>
          <w:szCs w:val="22"/>
          <w:lang w:val="uk-UA"/>
        </w:rPr>
        <w:t>ть в Україні» від 16.07.1999 р.</w:t>
      </w:r>
      <w:r w:rsidR="00A0234C" w:rsidRPr="00AF7BE6">
        <w:rPr>
          <w:sz w:val="22"/>
          <w:szCs w:val="22"/>
          <w:lang w:val="uk-UA"/>
        </w:rPr>
        <w:t> </w:t>
      </w:r>
      <w:r w:rsidRPr="00AF7BE6">
        <w:rPr>
          <w:sz w:val="22"/>
          <w:szCs w:val="22"/>
          <w:lang w:val="uk-UA"/>
        </w:rPr>
        <w:t>Аудитор зазначає, що інформація наведена у цьому Звіті про управління представлена користувачам з метою достовірного уявлення про результати діяльності підприємства, перспективи його розвитку, зокрема, про основні ризики й невизначеності діяльності та дії керівництва відповідно до заявлених стратегічних планів розвитку компанії. </w:t>
      </w:r>
    </w:p>
    <w:p w14:paraId="4F92819E" w14:textId="77777777" w:rsidR="00D47318" w:rsidRPr="00AF7BE6" w:rsidRDefault="00D47318" w:rsidP="00D47318">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Розгляд існування суттєвої невідповідності між цією іншою інформацією наведеною у Звіті про управління і фінансовою звітністю, щодо якої висловлена думка аудитора або нашими знаннями, отриманими під час аудиту досліджується на предмет викривлення. Якщо на основі проведеної нами роботи ми доходимо </w:t>
      </w:r>
      <w:r w:rsidRPr="00AF7BE6">
        <w:rPr>
          <w:sz w:val="22"/>
          <w:szCs w:val="22"/>
          <w:lang w:val="uk-UA"/>
        </w:rPr>
        <w:lastRenderedPageBreak/>
        <w:t>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14:paraId="42835C38" w14:textId="77777777" w:rsidR="002437F4" w:rsidRPr="00AF7BE6" w:rsidRDefault="002437F4" w:rsidP="00F374F3">
      <w:pPr>
        <w:pStyle w:val="rvps2"/>
        <w:shd w:val="clear" w:color="auto" w:fill="FFFFFF"/>
        <w:spacing w:before="0" w:beforeAutospacing="0" w:after="240" w:afterAutospacing="0"/>
        <w:contextualSpacing/>
        <w:jc w:val="both"/>
        <w:rPr>
          <w:b/>
          <w:sz w:val="22"/>
          <w:szCs w:val="22"/>
          <w:lang w:val="uk-UA"/>
        </w:rPr>
      </w:pPr>
    </w:p>
    <w:p w14:paraId="4475B7AB" w14:textId="77777777" w:rsidR="00D47318" w:rsidRPr="00AF7BE6" w:rsidRDefault="00D47318" w:rsidP="00F374F3">
      <w:pPr>
        <w:pStyle w:val="rvps2"/>
        <w:shd w:val="clear" w:color="auto" w:fill="FFFFFF"/>
        <w:spacing w:before="0" w:beforeAutospacing="0" w:after="240" w:afterAutospacing="0"/>
        <w:contextualSpacing/>
        <w:jc w:val="both"/>
        <w:rPr>
          <w:b/>
          <w:color w:val="000000" w:themeColor="text1"/>
          <w:sz w:val="22"/>
          <w:szCs w:val="22"/>
          <w:lang w:val="uk-UA"/>
        </w:rPr>
      </w:pPr>
      <w:r w:rsidRPr="00AF7BE6">
        <w:rPr>
          <w:b/>
          <w:color w:val="000000" w:themeColor="text1"/>
          <w:sz w:val="22"/>
          <w:szCs w:val="22"/>
          <w:lang w:val="uk-UA"/>
        </w:rPr>
        <w:t xml:space="preserve">ТВЕРДЖЕННЯ ПРО НЕЗАЛЕЖНІСТЬ </w:t>
      </w:r>
    </w:p>
    <w:p w14:paraId="73140777" w14:textId="77777777" w:rsidR="00F374F3" w:rsidRPr="00AF7BE6" w:rsidRDefault="00F374F3" w:rsidP="00F374F3">
      <w:pPr>
        <w:pStyle w:val="rvps2"/>
        <w:shd w:val="clear" w:color="auto" w:fill="FFFFFF"/>
        <w:spacing w:before="0" w:beforeAutospacing="0" w:after="240" w:afterAutospacing="0"/>
        <w:contextualSpacing/>
        <w:jc w:val="both"/>
        <w:rPr>
          <w:b/>
          <w:color w:val="000000" w:themeColor="text1"/>
          <w:sz w:val="22"/>
          <w:szCs w:val="22"/>
          <w:lang w:val="uk-UA"/>
        </w:rPr>
      </w:pPr>
    </w:p>
    <w:p w14:paraId="626F5318" w14:textId="2A5F84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Ми є незалежними по відношенню до </w:t>
      </w:r>
      <w:r w:rsidR="008143A6" w:rsidRPr="00AF7BE6">
        <w:rPr>
          <w:sz w:val="22"/>
          <w:szCs w:val="22"/>
          <w:lang w:val="uk-UA"/>
        </w:rPr>
        <w:t>Акціонерного товариства «Кременчуцьке кар’єроуправління «Кварц»</w:t>
      </w:r>
      <w:r w:rsidR="00DD7DC6" w:rsidRPr="00AF7BE6">
        <w:rPr>
          <w:color w:val="000000"/>
          <w:lang w:val="uk-UA"/>
        </w:rPr>
        <w:t xml:space="preserve"> </w:t>
      </w:r>
      <w:r w:rsidRPr="00AF7BE6">
        <w:rPr>
          <w:color w:val="000000" w:themeColor="text1"/>
          <w:sz w:val="22"/>
          <w:szCs w:val="22"/>
          <w:lang w:val="uk-UA"/>
        </w:rPr>
        <w:t>згідно Кодексу Етики Професійних Бухгалтерів Ради з міжнародних стандартів етики для бухгалтерів («Кодекс РМСЕБ») та етичним вимогам, застосовними в Україні до нашого аудиту фінансової звітності, а також виконували інші обов’язки з етики відповідно до цих вимог та Кодексу РМСЕБ. Аудиторська фірма стверджує, що ключовий партнер і аудиторська група яка приймала учать в перевірці Компанії:</w:t>
      </w:r>
    </w:p>
    <w:p w14:paraId="63D3AB17"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1) не мала прямих родинних стосунків з членами органів управління суб'єкта господарювання, що перевіряється; </w:t>
      </w:r>
    </w:p>
    <w:p w14:paraId="4A57765C"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2) не мала особистих майнових інтересів у суб'єкта господарювання, що перевіряється; </w:t>
      </w:r>
    </w:p>
    <w:p w14:paraId="18647B92"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3) аудитор не є членом органів управління, засновником або власником суб'єкта господарювання, що перевіряється; </w:t>
      </w:r>
    </w:p>
    <w:p w14:paraId="61E542D7"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4) аудитор не є працівником суб'єкта господарювання, що перевіряється; </w:t>
      </w:r>
    </w:p>
    <w:p w14:paraId="334211CA"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5) аудитор не є працівником, співвласником дочірнього підприємства, філії чи представництва суб'єкта господарювання, що перевіряється; </w:t>
      </w:r>
    </w:p>
    <w:p w14:paraId="08B14A81"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6) винагороди за надання аудиторських послуг враховує необхідний для якісного виконання таких послуг час, належних навичок, знань, професійної кваліфікації та ступінь відповідальності аудитора; </w:t>
      </w:r>
    </w:p>
    <w:p w14:paraId="1483DB5B" w14:textId="77777777" w:rsidR="00D47318" w:rsidRPr="00AF7BE6" w:rsidRDefault="00D47318" w:rsidP="00F374F3">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7) аудитором забезпечувалися вимоги щодо його незалежності. </w:t>
      </w:r>
    </w:p>
    <w:p w14:paraId="2182F725" w14:textId="77777777" w:rsidR="003C208E" w:rsidRPr="00AF7BE6" w:rsidRDefault="00D47318" w:rsidP="001F0B47">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Протягом 20</w:t>
      </w:r>
      <w:r w:rsidR="00B400E2" w:rsidRPr="00AF7BE6">
        <w:rPr>
          <w:color w:val="000000" w:themeColor="text1"/>
          <w:sz w:val="22"/>
          <w:szCs w:val="22"/>
          <w:lang w:val="uk-UA"/>
        </w:rPr>
        <w:t>20</w:t>
      </w:r>
      <w:r w:rsidRPr="00AF7BE6">
        <w:rPr>
          <w:color w:val="000000" w:themeColor="text1"/>
          <w:sz w:val="22"/>
          <w:szCs w:val="22"/>
          <w:lang w:val="uk-UA"/>
        </w:rPr>
        <w:t xml:space="preserve"> року, аудиторська фірма не надавала послуг, на які встановлені обмеження статтею 4 Закону України «Про аудит фінансової звітності та аудиторську діяльність» від 21.12.2017р №2258. Аудитор не надавав безпосередньо або опосередковано послуги Компанії, які зазначені у частині четвертій статті 6 Закону України «Про аудит фінансової звітності та аудиторську ді</w:t>
      </w:r>
      <w:r w:rsidR="00B82678" w:rsidRPr="00AF7BE6">
        <w:rPr>
          <w:color w:val="000000" w:themeColor="text1"/>
          <w:sz w:val="22"/>
          <w:szCs w:val="22"/>
          <w:lang w:val="uk-UA"/>
        </w:rPr>
        <w:t>яльність» від 21.12.2017р №2258.</w:t>
      </w:r>
    </w:p>
    <w:p w14:paraId="38500C0D" w14:textId="77777777" w:rsidR="001F0B47" w:rsidRPr="00AF7BE6" w:rsidRDefault="001F0B47" w:rsidP="001F0B47">
      <w:pPr>
        <w:pStyle w:val="rvps2"/>
        <w:shd w:val="clear" w:color="auto" w:fill="FFFFFF"/>
        <w:spacing w:before="0" w:beforeAutospacing="0" w:after="0" w:afterAutospacing="0"/>
        <w:ind w:firstLine="567"/>
        <w:contextualSpacing/>
        <w:jc w:val="both"/>
        <w:rPr>
          <w:color w:val="000000" w:themeColor="text1"/>
          <w:sz w:val="22"/>
          <w:szCs w:val="22"/>
          <w:lang w:val="uk-UA"/>
        </w:rPr>
      </w:pPr>
    </w:p>
    <w:p w14:paraId="71EB1EBE" w14:textId="77777777" w:rsidR="00856D14" w:rsidRPr="00AF7BE6" w:rsidRDefault="00856D14" w:rsidP="0058487F">
      <w:pPr>
        <w:pStyle w:val="rvps2"/>
        <w:shd w:val="clear" w:color="auto" w:fill="FFFFFF"/>
        <w:spacing w:before="0" w:beforeAutospacing="0" w:after="0" w:afterAutospacing="0"/>
        <w:contextualSpacing/>
        <w:jc w:val="both"/>
        <w:rPr>
          <w:b/>
          <w:color w:val="000000" w:themeColor="text1"/>
          <w:szCs w:val="20"/>
          <w:lang w:val="uk-UA" w:eastAsia="ar-SA"/>
        </w:rPr>
      </w:pPr>
      <w:r w:rsidRPr="00AF7BE6">
        <w:rPr>
          <w:b/>
          <w:color w:val="000000" w:themeColor="text1"/>
          <w:sz w:val="22"/>
          <w:szCs w:val="22"/>
          <w:lang w:val="uk-UA"/>
        </w:rPr>
        <w:t>АУДИТОРСЬКІ</w:t>
      </w:r>
      <w:r w:rsidRPr="00AF7BE6">
        <w:rPr>
          <w:b/>
          <w:color w:val="000000" w:themeColor="text1"/>
          <w:szCs w:val="20"/>
          <w:lang w:val="uk-UA" w:eastAsia="ar-SA"/>
        </w:rPr>
        <w:t xml:space="preserve"> ОЦІНКИ </w:t>
      </w:r>
    </w:p>
    <w:p w14:paraId="64075EED" w14:textId="77777777" w:rsidR="0058487F" w:rsidRPr="00AF7BE6" w:rsidRDefault="0058487F" w:rsidP="0058487F">
      <w:pPr>
        <w:pStyle w:val="rvps2"/>
        <w:shd w:val="clear" w:color="auto" w:fill="FFFFFF"/>
        <w:spacing w:before="0" w:beforeAutospacing="0" w:after="240" w:afterAutospacing="0"/>
        <w:ind w:firstLine="567"/>
        <w:contextualSpacing/>
        <w:jc w:val="both"/>
        <w:rPr>
          <w:color w:val="000000" w:themeColor="text1"/>
          <w:sz w:val="22"/>
          <w:szCs w:val="22"/>
          <w:lang w:val="uk-UA"/>
        </w:rPr>
      </w:pPr>
    </w:p>
    <w:p w14:paraId="09D18657" w14:textId="77777777" w:rsidR="00856D14" w:rsidRPr="00AF7BE6" w:rsidRDefault="00856D14" w:rsidP="0058487F">
      <w:pPr>
        <w:pStyle w:val="rvps2"/>
        <w:shd w:val="clear" w:color="auto" w:fill="FFFFFF"/>
        <w:spacing w:before="0" w:beforeAutospacing="0" w:after="24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Проведення аудиту завжди супроводжується певним ризиком. При перевірці аудитором було визначено оцінку ризиків: – властивий ризик на високому рівні; – ризик, пов'язаний із невідповідністю внутрішнього контролю (або ризик контролю) на високому рівні; – ризик не виявлення помилок та викривлень на середньому рівні. Виконуючи оцінку цих ризиків, аудитор розглядав заходи внутрішнього контролю, що стосуються складання та достовірного подання суб’єктом господарювання фінансової звітності, а також оцінку відповідності використаних облікових політик, прийнятність облікових оцінок, виконаних управлінським персоналом, та загального подання фінансової звітності. </w:t>
      </w:r>
    </w:p>
    <w:p w14:paraId="461B5BB9" w14:textId="77777777" w:rsidR="00DD7DC6" w:rsidRPr="00AF7BE6" w:rsidRDefault="00DD7DC6" w:rsidP="00A74BC1">
      <w:pPr>
        <w:pStyle w:val="rvps2"/>
        <w:shd w:val="clear" w:color="auto" w:fill="FFFFFF"/>
        <w:spacing w:before="0" w:beforeAutospacing="0" w:after="0" w:afterAutospacing="0"/>
        <w:contextualSpacing/>
        <w:jc w:val="both"/>
        <w:rPr>
          <w:b/>
          <w:color w:val="000000" w:themeColor="text1"/>
          <w:sz w:val="22"/>
          <w:szCs w:val="22"/>
          <w:lang w:val="uk-UA"/>
        </w:rPr>
      </w:pPr>
    </w:p>
    <w:p w14:paraId="229A90D1" w14:textId="77777777" w:rsidR="006F000F" w:rsidRPr="00AF7BE6" w:rsidRDefault="00A74BC1" w:rsidP="00A74BC1">
      <w:pPr>
        <w:pStyle w:val="rvps2"/>
        <w:shd w:val="clear" w:color="auto" w:fill="FFFFFF"/>
        <w:spacing w:before="0" w:beforeAutospacing="0" w:after="0" w:afterAutospacing="0"/>
        <w:contextualSpacing/>
        <w:jc w:val="both"/>
        <w:rPr>
          <w:b/>
          <w:color w:val="000000" w:themeColor="text1"/>
          <w:sz w:val="22"/>
          <w:szCs w:val="22"/>
          <w:lang w:val="uk-UA"/>
        </w:rPr>
      </w:pPr>
      <w:r w:rsidRPr="00AF7BE6">
        <w:rPr>
          <w:b/>
          <w:color w:val="000000" w:themeColor="text1"/>
          <w:sz w:val="22"/>
          <w:szCs w:val="22"/>
          <w:lang w:val="uk-UA"/>
        </w:rPr>
        <w:t>ПОЯСНЕННЯ ЩОДО ОБСЯГУ АУДИТУ ТА ВЛАСТИВИХ ДЛЯ АУДИТУ ОБМЕЖЕНЬ</w:t>
      </w:r>
    </w:p>
    <w:p w14:paraId="1EB255C7"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p>
    <w:p w14:paraId="3A918172"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Визначення обсягу аудиторської перевірки є предметом професійного судження аудитора про характер і масштаб робіт, проведення яких необхідно для досягнення цілей аудиту і диктується обставинами перевірки. При визначенні обсягу аудиту аудиторська фірма виходила згідно з вимог нормативних документів, що регламентують аудиторську діяльність, положень договору аудиторської фірми з Компанією і конкретних особливостей перевірки з урахуванням отриманих знань про діяльність економічного суб'єкта. При аудиторської перевірці основними стадіями перевірки були: </w:t>
      </w:r>
    </w:p>
    <w:p w14:paraId="7B1FB732"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 планування аудиту; </w:t>
      </w:r>
    </w:p>
    <w:p w14:paraId="0AC3EFA1"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 отримання аудиторських доказів; </w:t>
      </w:r>
    </w:p>
    <w:p w14:paraId="19CCADB6"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 використання роботи інших осіб і контакти з керівництвом економічного суб'єкта з третіми сторонами; </w:t>
      </w:r>
    </w:p>
    <w:p w14:paraId="5C30D7C3"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 документування аудиту; </w:t>
      </w:r>
    </w:p>
    <w:p w14:paraId="58D239F7"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 узагальнення результатів, формування і вираження думки щодо бухгалтерської звітності економічного суб'єкта. </w:t>
      </w:r>
    </w:p>
    <w:p w14:paraId="1406A8AD" w14:textId="77777777" w:rsidR="00A74BC1" w:rsidRPr="00AF7BE6" w:rsidRDefault="00A74BC1" w:rsidP="00A74BC1">
      <w:pPr>
        <w:pStyle w:val="rvps2"/>
        <w:shd w:val="clear" w:color="auto" w:fill="FFFFFF"/>
        <w:spacing w:before="0" w:beforeAutospacing="0" w:after="0" w:afterAutospacing="0"/>
        <w:ind w:firstLine="567"/>
        <w:contextualSpacing/>
        <w:jc w:val="both"/>
        <w:rPr>
          <w:color w:val="000000" w:themeColor="text1"/>
          <w:sz w:val="22"/>
          <w:szCs w:val="22"/>
          <w:lang w:val="uk-UA"/>
        </w:rPr>
      </w:pPr>
      <w:r w:rsidRPr="00AF7BE6">
        <w:rPr>
          <w:color w:val="000000" w:themeColor="text1"/>
          <w:sz w:val="22"/>
          <w:szCs w:val="22"/>
          <w:lang w:val="uk-UA"/>
        </w:rPr>
        <w:t xml:space="preserve">Аудиторська перевірка була спланована на основі досягнутого аудиторською фірмою розуміння діяльності економічного суб'єкта. В ході аудиту було отримано достатню кількість якісних аудиторських доказів, які послужили основою для формування аудиторської думки про достовірність бухгалтерської звітності Компанії. При проведенні аудиту дотримувалося раціональне співвідношення між витратами на збір аудиторських доказів і корисністю отриманої інформації. Однак незважаючи на вищевказані процедури, при перевірці існують властиві обмеження аудиту, та створюють невід’ємний ризик того, що деякі суттєві викривлення фінансових звітів не будуть виявлені, навіть при належному плануванні і здійснення аудиту відповідно до МСА. Аудит не гарантує виявлення всіх суттєвих викривлень через такі фактори, як використання суджень, тестувань, обмеження, властиві внутрішньому контролю, а також через те, що </w:t>
      </w:r>
      <w:r w:rsidRPr="00AF7BE6">
        <w:rPr>
          <w:color w:val="000000" w:themeColor="text1"/>
          <w:sz w:val="22"/>
          <w:szCs w:val="22"/>
          <w:lang w:val="uk-UA"/>
        </w:rPr>
        <w:lastRenderedPageBreak/>
        <w:t xml:space="preserve">більшість доказів, доступних аудитору, є радше переконливими, ніж остаточними. Унаслідок цього аудитор може отримати лише обґрунтовану впевненість, що суттєві викривлення у фінансових звітах будуть виявлені. </w:t>
      </w:r>
    </w:p>
    <w:p w14:paraId="5E81B68F" w14:textId="77777777" w:rsidR="006F000F" w:rsidRPr="00AF7BE6" w:rsidRDefault="006F000F" w:rsidP="006F000F">
      <w:pPr>
        <w:spacing w:after="0" w:line="240" w:lineRule="auto"/>
        <w:ind w:firstLine="567"/>
        <w:jc w:val="both"/>
        <w:rPr>
          <w:rFonts w:ascii="Times New Roman" w:eastAsia="Times New Roman" w:hAnsi="Times New Roman" w:cs="Times New Roman"/>
          <w:color w:val="000000"/>
          <w:lang w:val="uk-UA"/>
        </w:rPr>
      </w:pPr>
    </w:p>
    <w:p w14:paraId="31457141" w14:textId="77777777" w:rsidR="00385474" w:rsidRPr="00AF7BE6" w:rsidRDefault="00385474" w:rsidP="00385474">
      <w:pPr>
        <w:pStyle w:val="rvps2"/>
        <w:shd w:val="clear" w:color="auto" w:fill="FFFFFF"/>
        <w:spacing w:before="0" w:beforeAutospacing="0" w:after="240" w:afterAutospacing="0"/>
        <w:contextualSpacing/>
        <w:jc w:val="both"/>
        <w:rPr>
          <w:b/>
          <w:sz w:val="22"/>
          <w:szCs w:val="22"/>
          <w:lang w:val="uk-UA"/>
        </w:rPr>
      </w:pPr>
      <w:r w:rsidRPr="00AF7BE6">
        <w:rPr>
          <w:b/>
          <w:sz w:val="22"/>
          <w:szCs w:val="22"/>
          <w:lang w:val="uk-UA"/>
        </w:rPr>
        <w:t xml:space="preserve">ПРО УЗГОДЖЕНІСТЬ ЗВІТУ ПРО УПРАВЛІННЯ, ЯКИЙ СКЛАДАЄТЬСЯ ВІДПОВІДНО ДО ЗАКОНОДАВСТВА З ФІНАНСОВОЮ ЗВІТНІСТЮ ЗА ЗВІТНИЙ ПЕРІОД </w:t>
      </w:r>
    </w:p>
    <w:p w14:paraId="50169444" w14:textId="77777777" w:rsidR="00385474" w:rsidRPr="00AF7BE6" w:rsidRDefault="00385474" w:rsidP="00385474">
      <w:pPr>
        <w:pStyle w:val="rvps2"/>
        <w:shd w:val="clear" w:color="auto" w:fill="FFFFFF"/>
        <w:spacing w:before="0" w:beforeAutospacing="0" w:after="0" w:afterAutospacing="0"/>
        <w:ind w:firstLine="567"/>
        <w:contextualSpacing/>
        <w:jc w:val="both"/>
        <w:rPr>
          <w:sz w:val="22"/>
          <w:szCs w:val="22"/>
          <w:lang w:val="uk-UA"/>
        </w:rPr>
      </w:pPr>
    </w:p>
    <w:p w14:paraId="0D42E3C0" w14:textId="6DD88609" w:rsidR="00385474" w:rsidRPr="00AF7BE6" w:rsidRDefault="00385474" w:rsidP="00385474">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Відповідно до статті 14 пункту 3 абз.5 Закону України «Про аудит фінансової звітності та аудиторську діяльність», аудитор вважає, що «Звіт про управління» є узгодженим з фінансовою звітністю </w:t>
      </w:r>
      <w:r w:rsidR="008143A6" w:rsidRPr="00AF7BE6">
        <w:rPr>
          <w:sz w:val="22"/>
          <w:szCs w:val="22"/>
          <w:lang w:val="uk-UA"/>
        </w:rPr>
        <w:t>Акціонерного товариства «Кременчуцьке кар’єроуправління «Кварц»</w:t>
      </w:r>
      <w:r w:rsidR="00DD7DC6" w:rsidRPr="00AF7BE6">
        <w:rPr>
          <w:lang w:val="uk-UA"/>
        </w:rPr>
        <w:t xml:space="preserve"> </w:t>
      </w:r>
      <w:r w:rsidRPr="00AF7BE6">
        <w:rPr>
          <w:sz w:val="22"/>
          <w:szCs w:val="22"/>
          <w:lang w:val="uk-UA"/>
        </w:rPr>
        <w:t xml:space="preserve">за звітний період. Звіт про управління, що надається </w:t>
      </w:r>
      <w:r w:rsidR="008143A6" w:rsidRPr="00AF7BE6">
        <w:rPr>
          <w:sz w:val="22"/>
          <w:szCs w:val="22"/>
          <w:lang w:val="uk-UA"/>
        </w:rPr>
        <w:t>Акціонерному товариству «Кременчуцьке кар’єроуправління «Кварц»</w:t>
      </w:r>
      <w:r w:rsidRPr="00AF7BE6">
        <w:rPr>
          <w:sz w:val="22"/>
          <w:szCs w:val="22"/>
          <w:lang w:val="uk-UA"/>
        </w:rPr>
        <w:t xml:space="preserve">, складено на виконання Закону України від 05.10.2017 № 2164-VIII - Про внесення змін до Закону України № 996 «Про бухгалтерський облік та фінансову звітність в Україні», у відповідності до Наказу Міністерства Фінансів України від 7 грудня 2018 року № 982 «Про затвердження Методичних рекомендацій зі складання звіту про управління» та не містить суттєвих викривлень. </w:t>
      </w:r>
    </w:p>
    <w:p w14:paraId="5A27F791" w14:textId="77777777" w:rsidR="00385474" w:rsidRPr="00AF7BE6" w:rsidRDefault="00385474" w:rsidP="00385474">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Звіт про управління містить достовірну фінансову та не фінансову інформацію про діяльність підприємства, його стан і перспективи розвитку та розкриває основні ризики і невизначеності його діяльності. </w:t>
      </w:r>
    </w:p>
    <w:p w14:paraId="4A516611" w14:textId="77777777" w:rsidR="00987305" w:rsidRPr="00AF7BE6" w:rsidRDefault="00987305" w:rsidP="0059269A">
      <w:pPr>
        <w:pStyle w:val="rvps2"/>
        <w:shd w:val="clear" w:color="auto" w:fill="FFFFFF"/>
        <w:spacing w:before="0" w:beforeAutospacing="0" w:after="240" w:afterAutospacing="0"/>
        <w:contextualSpacing/>
        <w:jc w:val="both"/>
        <w:rPr>
          <w:b/>
          <w:sz w:val="22"/>
          <w:szCs w:val="22"/>
          <w:lang w:val="uk-UA"/>
        </w:rPr>
      </w:pPr>
    </w:p>
    <w:p w14:paraId="2FC585B3" w14:textId="77777777" w:rsidR="0059269A" w:rsidRPr="00AF7BE6" w:rsidRDefault="0059269A" w:rsidP="0059269A">
      <w:pPr>
        <w:pStyle w:val="rvps2"/>
        <w:shd w:val="clear" w:color="auto" w:fill="FFFFFF"/>
        <w:spacing w:before="0" w:beforeAutospacing="0" w:after="240" w:afterAutospacing="0"/>
        <w:contextualSpacing/>
        <w:jc w:val="both"/>
        <w:rPr>
          <w:b/>
          <w:sz w:val="22"/>
          <w:szCs w:val="22"/>
          <w:lang w:val="uk-UA"/>
        </w:rPr>
      </w:pPr>
      <w:r w:rsidRPr="00AF7BE6">
        <w:rPr>
          <w:b/>
          <w:sz w:val="22"/>
          <w:szCs w:val="22"/>
          <w:lang w:val="uk-UA"/>
        </w:rPr>
        <w:t>ІНША ІНФОРМАЦІЯ ВКЛЮЧЕНА ДО ОБГОВОРЕННЯ І АНАЛІЗ КЕРІВНИЦТВОМ ФІНАНСОВОГО СТАНУ І РЕЗУЛЬТАТІВ ДІЯЛЬНОСТІ</w:t>
      </w:r>
    </w:p>
    <w:p w14:paraId="47A6F09B" w14:textId="77777777"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p>
    <w:p w14:paraId="6A693635" w14:textId="77777777"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Інша інформація включає інформацію, яка міститься в обговоренні і аналізі керівництвом фінансового стану і результатів діяльності, однак, не включена в фінансову звітність і наш аудиторський звіт про неї. Відповідальність за іншу інформацію несе керівництво Компанії. Наша думка про фінансову звітність не поширюється на іншу інформацію, і ми не надаємо висновку, який виражає впевненість в будь-який формі в відношенні до цієї інформації. В зв’язку з проведенням аудиту фінансової звітності наш обов’язок полягає в ознайомлені з іншою інформацією і розгляді при цьому питань, які можуть бути не узгоджені з фінансовою звітністю, або нашими знаннями цих питань, які отримані під час аудиту. Якщо на основі проведеної нами роботи ми дійдемо до висновку, що існує суттєве викривлення іншої інформації, ми повідомимо про цей факт. Ми не виявили таких фактів, які було б включити до звіту. У відповідності з ст. 401 Закону України «Про цінні папери та фондовий ринок» аудитор висловлює свою думку щодо інформації про систему внутрішнього контролю і корпоративне управління. Нами виконані певні процедури щодо розкриття цієї інформац</w:t>
      </w:r>
      <w:r w:rsidR="00987305" w:rsidRPr="00AF7BE6">
        <w:rPr>
          <w:sz w:val="22"/>
          <w:szCs w:val="22"/>
          <w:lang w:val="uk-UA"/>
        </w:rPr>
        <w:t>ії. Ми оцінили наявні у Товариства</w:t>
      </w:r>
      <w:r w:rsidRPr="00AF7BE6">
        <w:rPr>
          <w:sz w:val="22"/>
          <w:szCs w:val="22"/>
          <w:lang w:val="uk-UA"/>
        </w:rPr>
        <w:t xml:space="preserve"> засоби внутрішнього контролю і управління ризиками емітента шляхом тестування. Функціонування органів корпоративного управління регламентується Статутом та Положеннями про відповідні органи управління та контролю. Протягом звітного періоду не відбувалося змін у складі власників істотної участі акціонерів, які прямо або опосередковано є власниками значного пакета акцій емітента.</w:t>
      </w:r>
    </w:p>
    <w:p w14:paraId="61518F88" w14:textId="77777777"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 Протягом звітного року </w:t>
      </w:r>
      <w:r w:rsidR="00987305" w:rsidRPr="00AF7BE6">
        <w:rPr>
          <w:sz w:val="22"/>
          <w:szCs w:val="22"/>
          <w:lang w:val="uk-UA"/>
        </w:rPr>
        <w:t>у Товариства</w:t>
      </w:r>
      <w:r w:rsidRPr="00AF7BE6">
        <w:rPr>
          <w:sz w:val="22"/>
          <w:szCs w:val="22"/>
          <w:lang w:val="uk-UA"/>
        </w:rPr>
        <w:t xml:space="preserve"> функціонували наступні органи управління: </w:t>
      </w:r>
    </w:p>
    <w:p w14:paraId="10FC2D0D" w14:textId="77777777"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 Загальні збори акціонерів; </w:t>
      </w:r>
    </w:p>
    <w:p w14:paraId="3558FAA1" w14:textId="77777777"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 Наглядова рада; </w:t>
      </w:r>
    </w:p>
    <w:p w14:paraId="3193C117" w14:textId="4FEE6AAB"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 </w:t>
      </w:r>
      <w:r w:rsidR="00E56863" w:rsidRPr="00AF7BE6">
        <w:rPr>
          <w:sz w:val="22"/>
          <w:szCs w:val="22"/>
          <w:lang w:val="uk-UA"/>
        </w:rPr>
        <w:t>Д</w:t>
      </w:r>
      <w:r w:rsidRPr="00AF7BE6">
        <w:rPr>
          <w:sz w:val="22"/>
          <w:szCs w:val="22"/>
          <w:lang w:val="uk-UA"/>
        </w:rPr>
        <w:t xml:space="preserve">иректор; </w:t>
      </w:r>
    </w:p>
    <w:p w14:paraId="087EFDE9" w14:textId="04F64654" w:rsidR="00E56863" w:rsidRPr="00AF7BE6" w:rsidRDefault="00E56863"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Ревізійна комісія.</w:t>
      </w:r>
    </w:p>
    <w:p w14:paraId="0C635797" w14:textId="77777777" w:rsidR="0059269A" w:rsidRPr="00AF7BE6" w:rsidRDefault="0059269A" w:rsidP="0059269A">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 xml:space="preserve">Органи управління протягом періоду діяли в межах своїх повноважень та компетенції, що визначається </w:t>
      </w:r>
      <w:r w:rsidR="00FE0D06" w:rsidRPr="00AF7BE6">
        <w:rPr>
          <w:sz w:val="22"/>
          <w:szCs w:val="22"/>
          <w:lang w:val="uk-UA"/>
        </w:rPr>
        <w:t>С</w:t>
      </w:r>
      <w:r w:rsidRPr="00AF7BE6">
        <w:rPr>
          <w:sz w:val="22"/>
          <w:szCs w:val="22"/>
          <w:lang w:val="uk-UA"/>
        </w:rPr>
        <w:t xml:space="preserve">татутом. Управління поточною діяльністю виконується одноосібно директором, який виконує свої обов’язки згідно Закону України «Про акціонерні товариства», Статуту, внутрішніх Положень </w:t>
      </w:r>
      <w:r w:rsidR="00987305" w:rsidRPr="00AF7BE6">
        <w:rPr>
          <w:sz w:val="22"/>
          <w:szCs w:val="22"/>
          <w:lang w:val="uk-UA"/>
        </w:rPr>
        <w:t>Товариства</w:t>
      </w:r>
      <w:r w:rsidRPr="00AF7BE6">
        <w:rPr>
          <w:sz w:val="22"/>
          <w:szCs w:val="22"/>
          <w:lang w:val="uk-UA"/>
        </w:rPr>
        <w:t xml:space="preserve">. Наглядова рада обирається загальними зборами і здійснює діяльність в межах своєї компетенції, визначених Статутом, Положенням про Наглядову раду, контролює і регулює діяльність виконавчого органу </w:t>
      </w:r>
      <w:r w:rsidR="00987305" w:rsidRPr="00AF7BE6">
        <w:rPr>
          <w:sz w:val="22"/>
          <w:szCs w:val="22"/>
          <w:lang w:val="uk-UA"/>
        </w:rPr>
        <w:t>Товариства</w:t>
      </w:r>
      <w:r w:rsidRPr="00AF7BE6">
        <w:rPr>
          <w:sz w:val="22"/>
          <w:szCs w:val="22"/>
          <w:lang w:val="uk-UA"/>
        </w:rPr>
        <w:t>. Кількісний склад сформованих органів корпоративного управління відповідає вим</w:t>
      </w:r>
      <w:r w:rsidR="00D212DF" w:rsidRPr="00AF7BE6">
        <w:rPr>
          <w:sz w:val="22"/>
          <w:szCs w:val="22"/>
          <w:lang w:val="uk-UA"/>
        </w:rPr>
        <w:t>огам Статуту.</w:t>
      </w:r>
    </w:p>
    <w:p w14:paraId="5A23F33A" w14:textId="77777777" w:rsidR="00810D6C" w:rsidRPr="00AF7BE6" w:rsidRDefault="0059269A" w:rsidP="00AF4023">
      <w:pPr>
        <w:pStyle w:val="rvps2"/>
        <w:shd w:val="clear" w:color="auto" w:fill="FFFFFF"/>
        <w:spacing w:before="0" w:beforeAutospacing="0" w:after="0" w:afterAutospacing="0"/>
        <w:ind w:firstLine="567"/>
        <w:contextualSpacing/>
        <w:jc w:val="both"/>
        <w:rPr>
          <w:sz w:val="22"/>
          <w:szCs w:val="22"/>
          <w:lang w:val="uk-UA"/>
        </w:rPr>
      </w:pPr>
      <w:r w:rsidRPr="00AF7BE6">
        <w:rPr>
          <w:sz w:val="22"/>
          <w:szCs w:val="22"/>
          <w:lang w:val="uk-UA"/>
        </w:rPr>
        <w:t>Протягом 20</w:t>
      </w:r>
      <w:r w:rsidR="00987305" w:rsidRPr="00AF7BE6">
        <w:rPr>
          <w:sz w:val="22"/>
          <w:szCs w:val="22"/>
          <w:lang w:val="uk-UA"/>
        </w:rPr>
        <w:t>20</w:t>
      </w:r>
      <w:r w:rsidRPr="00AF7BE6">
        <w:rPr>
          <w:sz w:val="22"/>
          <w:szCs w:val="22"/>
          <w:lang w:val="uk-UA"/>
        </w:rPr>
        <w:t xml:space="preserve"> року фактори ризику, що впливали на підприємство, поділяються на зовнішні і внутрішні. До внутрішніх факторів можна віднести стратегію </w:t>
      </w:r>
      <w:r w:rsidR="00987305" w:rsidRPr="00AF7BE6">
        <w:rPr>
          <w:sz w:val="22"/>
          <w:szCs w:val="22"/>
          <w:lang w:val="uk-UA"/>
        </w:rPr>
        <w:t>Товариств</w:t>
      </w:r>
      <w:r w:rsidRPr="00AF7BE6">
        <w:rPr>
          <w:sz w:val="22"/>
          <w:szCs w:val="22"/>
          <w:lang w:val="uk-UA"/>
        </w:rPr>
        <w:t xml:space="preserve">і механізм її реалізації. До зовнішніх ризиків належать соціальні потрясіння, інфляція, зміна податкового законодавства, кон’юнктура, тощо. Зовнішнє середовище складається з факторів, якими </w:t>
      </w:r>
      <w:r w:rsidR="00987305" w:rsidRPr="00AF7BE6">
        <w:rPr>
          <w:sz w:val="22"/>
          <w:szCs w:val="22"/>
          <w:lang w:val="uk-UA"/>
        </w:rPr>
        <w:t>Товариство</w:t>
      </w:r>
      <w:r w:rsidRPr="00AF7BE6">
        <w:rPr>
          <w:sz w:val="22"/>
          <w:szCs w:val="22"/>
          <w:lang w:val="uk-UA"/>
        </w:rPr>
        <w:t xml:space="preserve"> може управляти і навпаки, але вона повинна їх враховувати у своїй діяльності. До складових, на які </w:t>
      </w:r>
      <w:r w:rsidR="00DD6215" w:rsidRPr="00AF7BE6">
        <w:rPr>
          <w:sz w:val="22"/>
          <w:szCs w:val="22"/>
          <w:lang w:val="uk-UA"/>
        </w:rPr>
        <w:t>Товариство</w:t>
      </w:r>
      <w:r w:rsidRPr="00AF7BE6">
        <w:rPr>
          <w:sz w:val="22"/>
          <w:szCs w:val="22"/>
          <w:lang w:val="uk-UA"/>
        </w:rPr>
        <w:t xml:space="preserve"> може впливати, належить ринковий попит і конкуренція. Найбільш суттєвим зовнішнім фактором ризику, на яке </w:t>
      </w:r>
      <w:r w:rsidR="00DD6215" w:rsidRPr="00AF7BE6">
        <w:rPr>
          <w:sz w:val="22"/>
          <w:szCs w:val="22"/>
          <w:lang w:val="uk-UA"/>
        </w:rPr>
        <w:t>Товариство</w:t>
      </w:r>
      <w:r w:rsidRPr="00AF7BE6">
        <w:rPr>
          <w:sz w:val="22"/>
          <w:szCs w:val="22"/>
          <w:lang w:val="uk-UA"/>
        </w:rPr>
        <w:t xml:space="preserve"> не може вплинути, це ризик безперервності діяльності, можливості втрати активів, які розміщені на непідконтрольній Україні території. </w:t>
      </w:r>
      <w:r w:rsidR="00DD6215" w:rsidRPr="00AF7BE6">
        <w:rPr>
          <w:sz w:val="22"/>
          <w:szCs w:val="22"/>
          <w:lang w:val="uk-UA"/>
        </w:rPr>
        <w:t>Товариство</w:t>
      </w:r>
      <w:r w:rsidRPr="00AF7BE6">
        <w:rPr>
          <w:sz w:val="22"/>
          <w:szCs w:val="22"/>
          <w:lang w:val="uk-UA"/>
        </w:rPr>
        <w:t xml:space="preserve"> вважає, що наявність якісної, прозорої і дієвої системи корпоративного управління, яка базується на вищезазначених принципах та регламентується внутрішніми документами, має вплив на ефективність його роботи, сприяє прибутковості і стабільності, збільшує довіри з боку акціонерів і формує довгострокові співвідношення з партнерами і суспільства в цілому.</w:t>
      </w:r>
    </w:p>
    <w:p w14:paraId="3036DAD4" w14:textId="77777777" w:rsidR="005D5BC4" w:rsidRPr="00AF7BE6" w:rsidRDefault="005D5BC4" w:rsidP="00202402">
      <w:pPr>
        <w:spacing w:after="0" w:line="240" w:lineRule="auto"/>
        <w:rPr>
          <w:rFonts w:ascii="Times New Roman" w:eastAsia="Times New Roman" w:hAnsi="Times New Roman" w:cs="Times New Roman"/>
          <w:b/>
          <w:color w:val="000000"/>
          <w:lang w:val="uk-UA"/>
        </w:rPr>
      </w:pPr>
    </w:p>
    <w:p w14:paraId="4375B9ED" w14:textId="77777777" w:rsidR="00202402" w:rsidRPr="00AF7BE6" w:rsidRDefault="00202402" w:rsidP="00810D6C">
      <w:pPr>
        <w:spacing w:after="0" w:line="240" w:lineRule="auto"/>
        <w:jc w:val="center"/>
        <w:rPr>
          <w:rFonts w:ascii="Times New Roman" w:eastAsia="Times New Roman" w:hAnsi="Times New Roman" w:cs="Times New Roman"/>
          <w:b/>
          <w:color w:val="000000"/>
          <w:lang w:val="uk-UA"/>
        </w:rPr>
      </w:pPr>
    </w:p>
    <w:p w14:paraId="166A9ACF" w14:textId="77777777" w:rsidR="004A539B" w:rsidRPr="00AF7BE6" w:rsidRDefault="00810D6C" w:rsidP="00810D6C">
      <w:pPr>
        <w:spacing w:after="0" w:line="240" w:lineRule="auto"/>
        <w:jc w:val="center"/>
        <w:rPr>
          <w:rFonts w:ascii="Times New Roman" w:eastAsia="Times New Roman" w:hAnsi="Times New Roman" w:cs="Times New Roman"/>
          <w:color w:val="000000"/>
          <w:sz w:val="24"/>
          <w:lang w:val="uk-UA"/>
        </w:rPr>
      </w:pPr>
      <w:r w:rsidRPr="00AF7BE6">
        <w:rPr>
          <w:rFonts w:ascii="Times New Roman" w:eastAsia="Times New Roman" w:hAnsi="Times New Roman" w:cs="Times New Roman"/>
          <w:b/>
          <w:color w:val="000000"/>
          <w:lang w:val="uk-UA"/>
        </w:rPr>
        <w:t>ІІІ. ІНШІ ЕЛЕМЕНТИ</w:t>
      </w:r>
    </w:p>
    <w:p w14:paraId="12C1A549" w14:textId="77777777" w:rsidR="009117E9" w:rsidRPr="00AF7BE6" w:rsidRDefault="009117E9" w:rsidP="004A539B">
      <w:pPr>
        <w:spacing w:after="0" w:line="240" w:lineRule="auto"/>
        <w:jc w:val="both"/>
        <w:rPr>
          <w:rFonts w:ascii="Times New Roman" w:eastAsia="Times New Roman" w:hAnsi="Times New Roman" w:cs="Times New Roman"/>
          <w:color w:val="000000"/>
          <w:sz w:val="24"/>
          <w:lang w:val="uk-UA"/>
        </w:rPr>
      </w:pPr>
    </w:p>
    <w:p w14:paraId="29EE89D5" w14:textId="77777777" w:rsidR="00810D6C" w:rsidRPr="00AF7BE6" w:rsidRDefault="00810D6C" w:rsidP="004A539B">
      <w:pPr>
        <w:spacing w:after="0" w:line="240" w:lineRule="auto"/>
        <w:jc w:val="both"/>
        <w:rPr>
          <w:rFonts w:ascii="Times New Roman" w:eastAsia="Times New Roman" w:hAnsi="Times New Roman" w:cs="Times New Roman"/>
          <w:color w:val="000000"/>
          <w:sz w:val="24"/>
          <w:lang w:val="uk-UA"/>
        </w:rPr>
      </w:pPr>
    </w:p>
    <w:p w14:paraId="3F2A7F94" w14:textId="77777777" w:rsidR="00810D6C" w:rsidRPr="00AF7BE6" w:rsidRDefault="00810D6C" w:rsidP="004A539B">
      <w:pPr>
        <w:spacing w:after="0" w:line="240" w:lineRule="auto"/>
        <w:jc w:val="both"/>
        <w:rPr>
          <w:rFonts w:ascii="Times New Roman" w:eastAsia="Times New Roman" w:hAnsi="Times New Roman" w:cs="Times New Roman"/>
          <w:color w:val="000000"/>
          <w:sz w:val="24"/>
          <w:lang w:val="uk-UA"/>
        </w:rPr>
      </w:pPr>
    </w:p>
    <w:p w14:paraId="5C6D2A61" w14:textId="77777777" w:rsidR="00DD7DC6" w:rsidRPr="00AF7BE6" w:rsidRDefault="00933A0B" w:rsidP="00DD7DC6">
      <w:pPr>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sz w:val="24"/>
          <w:lang w:val="uk-UA"/>
        </w:rPr>
        <w:t>Ключовий партнер з аудиту</w:t>
      </w:r>
      <w:r w:rsidR="00DD7DC6" w:rsidRPr="00AF7BE6">
        <w:rPr>
          <w:rFonts w:ascii="Times New Roman" w:eastAsia="Times New Roman" w:hAnsi="Times New Roman" w:cs="Times New Roman"/>
          <w:color w:val="000000"/>
          <w:sz w:val="24"/>
          <w:lang w:val="uk-UA"/>
        </w:rPr>
        <w:t xml:space="preserve">                                       </w:t>
      </w:r>
      <w:r w:rsidRPr="00AF7BE6">
        <w:rPr>
          <w:rFonts w:ascii="Times New Roman" w:eastAsia="Times New Roman" w:hAnsi="Times New Roman" w:cs="Times New Roman"/>
          <w:color w:val="000000"/>
          <w:sz w:val="24"/>
          <w:lang w:val="uk-UA"/>
        </w:rPr>
        <w:t xml:space="preserve">                               </w:t>
      </w:r>
      <w:r w:rsidR="00DD7DC6" w:rsidRPr="00AF7BE6">
        <w:rPr>
          <w:rFonts w:ascii="Times New Roman" w:eastAsia="Times New Roman" w:hAnsi="Times New Roman" w:cs="Times New Roman"/>
          <w:color w:val="000000"/>
          <w:sz w:val="24"/>
          <w:lang w:val="uk-UA"/>
        </w:rPr>
        <w:t>м.п. _____________   Д.В. Чирва</w:t>
      </w:r>
    </w:p>
    <w:p w14:paraId="62FFAE5E" w14:textId="77777777" w:rsidR="00DD7DC6" w:rsidRPr="00AF7BE6" w:rsidRDefault="00DD7DC6" w:rsidP="00DD7DC6">
      <w:pPr>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sz w:val="24"/>
          <w:lang w:val="uk-UA"/>
        </w:rPr>
        <w:t>ПП АК "ДІ ДЖІ КЕЙ ЮКРЕЙН"</w:t>
      </w:r>
      <w:r w:rsidRPr="00AF7BE6">
        <w:rPr>
          <w:rFonts w:ascii="Times New Roman" w:eastAsia="Times New Roman" w:hAnsi="Times New Roman" w:cs="Times New Roman"/>
          <w:color w:val="000000"/>
          <w:sz w:val="24"/>
          <w:lang w:val="uk-UA"/>
        </w:rPr>
        <w:tab/>
        <w:t xml:space="preserve">                            </w:t>
      </w:r>
    </w:p>
    <w:p w14:paraId="05D131E8" w14:textId="77777777" w:rsidR="00DD7DC6" w:rsidRPr="00AF7BE6" w:rsidRDefault="00DD7DC6" w:rsidP="00DD7DC6">
      <w:pPr>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sz w:val="24"/>
          <w:lang w:val="uk-UA"/>
        </w:rPr>
        <w:t>(сертифікат №001199</w:t>
      </w:r>
    </w:p>
    <w:p w14:paraId="45743805" w14:textId="77777777" w:rsidR="00DD7DC6" w:rsidRPr="00AF7BE6" w:rsidRDefault="00DD7DC6" w:rsidP="00DD7DC6">
      <w:pPr>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sz w:val="24"/>
          <w:lang w:val="uk-UA"/>
        </w:rPr>
        <w:t xml:space="preserve">від 28.04.1994р)                                                                     </w:t>
      </w:r>
    </w:p>
    <w:p w14:paraId="1695EE23" w14:textId="77777777" w:rsidR="004A539B" w:rsidRPr="00AF7BE6" w:rsidRDefault="004A539B" w:rsidP="004A539B">
      <w:pPr>
        <w:spacing w:after="0" w:line="240" w:lineRule="auto"/>
        <w:jc w:val="both"/>
        <w:rPr>
          <w:rFonts w:ascii="Times New Roman" w:eastAsia="Times New Roman" w:hAnsi="Times New Roman" w:cs="Times New Roman"/>
          <w:color w:val="000000"/>
          <w:sz w:val="24"/>
          <w:lang w:val="uk-UA"/>
        </w:rPr>
      </w:pPr>
    </w:p>
    <w:p w14:paraId="10DD71C9" w14:textId="592C075B" w:rsidR="003641FB" w:rsidRPr="00AF7BE6" w:rsidRDefault="001509FD" w:rsidP="001F0B47">
      <w:pPr>
        <w:spacing w:after="0" w:line="240" w:lineRule="auto"/>
        <w:jc w:val="both"/>
        <w:rPr>
          <w:rFonts w:ascii="Times New Roman" w:eastAsia="Times New Roman" w:hAnsi="Times New Roman" w:cs="Times New Roman"/>
          <w:color w:val="000000"/>
          <w:sz w:val="24"/>
          <w:lang w:val="uk-UA"/>
        </w:rPr>
      </w:pPr>
      <w:r w:rsidRPr="00AF7BE6">
        <w:rPr>
          <w:rFonts w:ascii="Times New Roman" w:eastAsia="Times New Roman" w:hAnsi="Times New Roman" w:cs="Times New Roman"/>
          <w:color w:val="000000"/>
          <w:sz w:val="24"/>
          <w:lang w:val="uk-UA"/>
        </w:rPr>
        <w:t>05</w:t>
      </w:r>
      <w:r w:rsidR="00DD7DC6" w:rsidRPr="00AF7BE6">
        <w:rPr>
          <w:rFonts w:ascii="Times New Roman" w:eastAsia="Times New Roman" w:hAnsi="Times New Roman" w:cs="Times New Roman"/>
          <w:color w:val="000000"/>
          <w:sz w:val="24"/>
          <w:lang w:val="uk-UA"/>
        </w:rPr>
        <w:t xml:space="preserve"> </w:t>
      </w:r>
      <w:r w:rsidR="00DE44B4" w:rsidRPr="00AF7BE6">
        <w:rPr>
          <w:rFonts w:ascii="Times New Roman" w:eastAsia="Times New Roman" w:hAnsi="Times New Roman" w:cs="Times New Roman"/>
          <w:color w:val="000000"/>
          <w:sz w:val="24"/>
          <w:lang w:val="uk-UA"/>
        </w:rPr>
        <w:t>квітня</w:t>
      </w:r>
      <w:r w:rsidR="00DD7DC6" w:rsidRPr="00AF7BE6">
        <w:rPr>
          <w:rFonts w:ascii="Times New Roman" w:eastAsia="Times New Roman" w:hAnsi="Times New Roman" w:cs="Times New Roman"/>
          <w:color w:val="000000"/>
          <w:sz w:val="24"/>
          <w:lang w:val="uk-UA"/>
        </w:rPr>
        <w:t xml:space="preserve"> </w:t>
      </w:r>
      <w:r w:rsidR="004A539B" w:rsidRPr="00AF7BE6">
        <w:rPr>
          <w:rFonts w:ascii="Times New Roman" w:eastAsia="Times New Roman" w:hAnsi="Times New Roman" w:cs="Times New Roman"/>
          <w:color w:val="000000"/>
          <w:sz w:val="24"/>
          <w:lang w:val="uk-UA"/>
        </w:rPr>
        <w:t>202</w:t>
      </w:r>
      <w:r w:rsidR="00DD6215" w:rsidRPr="00AF7BE6">
        <w:rPr>
          <w:rFonts w:ascii="Times New Roman" w:eastAsia="Times New Roman" w:hAnsi="Times New Roman" w:cs="Times New Roman"/>
          <w:color w:val="000000"/>
          <w:sz w:val="24"/>
          <w:lang w:val="uk-UA"/>
        </w:rPr>
        <w:t>1</w:t>
      </w:r>
      <w:r w:rsidR="001F0B47" w:rsidRPr="00AF7BE6">
        <w:rPr>
          <w:rFonts w:ascii="Times New Roman" w:eastAsia="Times New Roman" w:hAnsi="Times New Roman" w:cs="Times New Roman"/>
          <w:color w:val="000000"/>
          <w:sz w:val="24"/>
          <w:lang w:val="uk-UA"/>
        </w:rPr>
        <w:t xml:space="preserve"> року</w:t>
      </w:r>
    </w:p>
    <w:p w14:paraId="1A62E0EC" w14:textId="77777777" w:rsidR="00202402" w:rsidRPr="00AF7BE6" w:rsidRDefault="00202402" w:rsidP="00B137D4">
      <w:pPr>
        <w:suppressAutoHyphens/>
        <w:spacing w:after="0" w:line="240" w:lineRule="auto"/>
        <w:ind w:firstLine="709"/>
        <w:jc w:val="center"/>
        <w:rPr>
          <w:rFonts w:ascii="Times New Roman" w:eastAsia="Times New Roman" w:hAnsi="Times New Roman" w:cs="Times New Roman"/>
          <w:b/>
          <w:color w:val="000000"/>
          <w:lang w:val="uk-UA"/>
        </w:rPr>
      </w:pPr>
    </w:p>
    <w:p w14:paraId="5E5B7A5A" w14:textId="77777777" w:rsidR="00202402" w:rsidRPr="00AF7BE6" w:rsidRDefault="00202402" w:rsidP="00B137D4">
      <w:pPr>
        <w:suppressAutoHyphens/>
        <w:spacing w:after="0" w:line="240" w:lineRule="auto"/>
        <w:ind w:firstLine="709"/>
        <w:jc w:val="center"/>
        <w:rPr>
          <w:rFonts w:ascii="Times New Roman" w:eastAsia="Times New Roman" w:hAnsi="Times New Roman" w:cs="Times New Roman"/>
          <w:b/>
          <w:color w:val="000000"/>
          <w:lang w:val="uk-UA"/>
        </w:rPr>
      </w:pPr>
    </w:p>
    <w:p w14:paraId="7671A682" w14:textId="77777777" w:rsidR="00E67DC1" w:rsidRPr="00AF7BE6" w:rsidRDefault="000F64CA" w:rsidP="00B137D4">
      <w:pPr>
        <w:suppressAutoHyphens/>
        <w:spacing w:after="0" w:line="240" w:lineRule="auto"/>
        <w:ind w:firstLine="709"/>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Основні відомості про аудиторську компанію:</w:t>
      </w:r>
    </w:p>
    <w:tbl>
      <w:tblPr>
        <w:tblW w:w="10490" w:type="dxa"/>
        <w:tblInd w:w="108" w:type="dxa"/>
        <w:tblCellMar>
          <w:left w:w="10" w:type="dxa"/>
          <w:right w:w="10" w:type="dxa"/>
        </w:tblCellMar>
        <w:tblLook w:val="0000" w:firstRow="0" w:lastRow="0" w:firstColumn="0" w:lastColumn="0" w:noHBand="0" w:noVBand="0"/>
      </w:tblPr>
      <w:tblGrid>
        <w:gridCol w:w="5158"/>
        <w:gridCol w:w="5332"/>
      </w:tblGrid>
      <w:tr w:rsidR="00C625BB" w:rsidRPr="00AF7BE6" w14:paraId="6DF1F8AC"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DC4F0"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Повна назва підприємства</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0848DA79" w14:textId="77777777" w:rsidR="00C625BB" w:rsidRPr="00AF7BE6" w:rsidRDefault="00C625BB" w:rsidP="00AD4B93">
            <w:pPr>
              <w:spacing w:after="0" w:line="240" w:lineRule="auto"/>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ПРИВАТНЕ ПІДПРИЄМСТВО АУДИТОРСЬКА КОМПАНІЯ "ДІ ДЖІ КЕЙ ЮКРЕЙН"</w:t>
            </w:r>
          </w:p>
        </w:tc>
      </w:tr>
      <w:tr w:rsidR="00C625BB" w:rsidRPr="00AF7BE6" w14:paraId="7BB62EEB"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DC3F9"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 xml:space="preserve">Скорочена назва підприємства </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34B415D4" w14:textId="77777777" w:rsidR="00C625BB" w:rsidRPr="00AF7BE6" w:rsidRDefault="00C625BB" w:rsidP="00AD4B93">
            <w:pPr>
              <w:spacing w:after="0" w:line="240" w:lineRule="auto"/>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ПП АК "ДІ ДЖІ КЕЙ ЮКРЕЙН"</w:t>
            </w:r>
          </w:p>
        </w:tc>
      </w:tr>
      <w:tr w:rsidR="00C625BB" w:rsidRPr="00AF7BE6" w14:paraId="1EC1C50E"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2E376"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Ознака особи</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164CE389" w14:textId="77777777" w:rsidR="00C625BB" w:rsidRPr="00AF7BE6" w:rsidRDefault="00C625BB" w:rsidP="00AD4B93">
            <w:pPr>
              <w:spacing w:after="0" w:line="240" w:lineRule="auto"/>
              <w:rPr>
                <w:lang w:val="uk-UA"/>
              </w:rPr>
            </w:pPr>
            <w:r w:rsidRPr="00AF7BE6">
              <w:rPr>
                <w:rFonts w:ascii="Times New Roman" w:eastAsia="Times New Roman" w:hAnsi="Times New Roman" w:cs="Times New Roman"/>
                <w:color w:val="000000"/>
                <w:lang w:val="uk-UA"/>
              </w:rPr>
              <w:t>Юридична</w:t>
            </w:r>
          </w:p>
        </w:tc>
      </w:tr>
      <w:tr w:rsidR="00C625BB" w:rsidRPr="00AF7BE6" w14:paraId="5CF691B9"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16C1A"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Код за ЄДРПОУ</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538CD5E5" w14:textId="77777777" w:rsidR="00C625BB" w:rsidRPr="00AF7BE6" w:rsidRDefault="00C625BB" w:rsidP="00AD4B93">
            <w:pPr>
              <w:spacing w:after="0" w:line="240" w:lineRule="auto"/>
              <w:rPr>
                <w:rFonts w:ascii="Times New Roman" w:eastAsia="Times New Roman" w:hAnsi="Times New Roman" w:cs="Times New Roman"/>
                <w:color w:val="000000"/>
                <w:lang w:val="uk-UA"/>
              </w:rPr>
            </w:pPr>
            <w:r w:rsidRPr="00AF7BE6">
              <w:rPr>
                <w:rFonts w:ascii="Times New Roman" w:eastAsia="Times New Roman" w:hAnsi="Times New Roman" w:cs="Times New Roman"/>
                <w:color w:val="000000"/>
                <w:lang w:val="uk-UA"/>
              </w:rPr>
              <w:t>21326993</w:t>
            </w:r>
          </w:p>
        </w:tc>
      </w:tr>
      <w:tr w:rsidR="00C625BB" w:rsidRPr="00AF7BE6" w14:paraId="09A4073F"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156BF"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Юридична адреса</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37A9D6D9" w14:textId="77777777" w:rsidR="00C625BB" w:rsidRPr="00AF7BE6" w:rsidRDefault="00C625BB" w:rsidP="00AD4B93">
            <w:pPr>
              <w:spacing w:after="0" w:line="240" w:lineRule="auto"/>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Україна, 04070, місто Київ, вул. Братська, будинок 5, квартира 11</w:t>
            </w:r>
          </w:p>
        </w:tc>
      </w:tr>
      <w:tr w:rsidR="00C625BB" w:rsidRPr="00AF7BE6" w14:paraId="3F4A910B"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6A924"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Адреса фактичного місцезнаходження</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1E83BF32" w14:textId="77777777" w:rsidR="00C625BB" w:rsidRPr="00AF7BE6" w:rsidRDefault="00C625BB" w:rsidP="00AD4B93">
            <w:pPr>
              <w:spacing w:after="0" w:line="240" w:lineRule="auto"/>
              <w:rPr>
                <w:rFonts w:ascii="Times New Roman" w:eastAsia="Times New Roman" w:hAnsi="Times New Roman" w:cs="Times New Roman"/>
                <w:color w:val="000000"/>
                <w:shd w:val="clear" w:color="auto" w:fill="FFFFFF"/>
                <w:lang w:val="uk-UA"/>
              </w:rPr>
            </w:pPr>
            <w:r w:rsidRPr="00AF7BE6">
              <w:rPr>
                <w:rFonts w:ascii="Times New Roman" w:eastAsia="Times New Roman" w:hAnsi="Times New Roman" w:cs="Times New Roman"/>
                <w:color w:val="000000"/>
                <w:shd w:val="clear" w:color="auto" w:fill="FFFFFF"/>
                <w:lang w:val="uk-UA"/>
              </w:rPr>
              <w:t>Україна, 04070, місто Київ, вул. Братська, будинок 5, квартира 11</w:t>
            </w:r>
          </w:p>
        </w:tc>
      </w:tr>
      <w:tr w:rsidR="00C625BB" w:rsidRPr="00AF7BE6" w14:paraId="6B9F3911"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B2F76"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Свідоцтво  про включення до Реєстру аудиторських фірм та аудиторів</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04487AE4" w14:textId="77777777" w:rsidR="00C625BB" w:rsidRPr="00AF7BE6" w:rsidRDefault="00C625BB" w:rsidP="00AD4B93">
            <w:pPr>
              <w:spacing w:after="0" w:line="240" w:lineRule="auto"/>
              <w:rPr>
                <w:lang w:val="uk-UA"/>
              </w:rPr>
            </w:pPr>
            <w:r w:rsidRPr="00AF7BE6">
              <w:rPr>
                <w:rFonts w:ascii="Times New Roman" w:eastAsia="Times New Roman" w:hAnsi="Times New Roman" w:cs="Times New Roman"/>
                <w:color w:val="000000"/>
                <w:lang w:val="uk-UA"/>
              </w:rPr>
              <w:t>№ 0238 від 26.01.2001 року № 98</w:t>
            </w:r>
          </w:p>
        </w:tc>
      </w:tr>
      <w:tr w:rsidR="00C625BB" w:rsidRPr="00AF7BE6" w14:paraId="4833A4B8"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D42E0"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Свідоцтво  про включення до Реєстру аудиторських фірм та аудиторів</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52DB7566" w14:textId="77777777" w:rsidR="00C625BB" w:rsidRPr="00AF7BE6" w:rsidRDefault="00C625BB" w:rsidP="00AD4B93">
            <w:pPr>
              <w:spacing w:after="0" w:line="240" w:lineRule="auto"/>
              <w:rPr>
                <w:lang w:val="uk-UA"/>
              </w:rPr>
            </w:pPr>
            <w:r w:rsidRPr="00AF7BE6">
              <w:rPr>
                <w:rFonts w:ascii="Times New Roman" w:eastAsia="Times New Roman" w:hAnsi="Times New Roman" w:cs="Times New Roman"/>
                <w:color w:val="000000"/>
                <w:lang w:val="uk-UA"/>
              </w:rPr>
              <w:t>Свідоцтво  про відповідність системи контролю якості № 0244 Рішення АПУ №249/5 від 26.04.2012 видане Аудиторською Палатою України</w:t>
            </w:r>
          </w:p>
        </w:tc>
      </w:tr>
      <w:tr w:rsidR="00C625BB" w:rsidRPr="00AF7BE6" w14:paraId="0D40C94F"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2F872"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Відповідність реєстру аудиторів, що мають право здійснювати аудит проф. учасників фондового ринку</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2441D979" w14:textId="77777777" w:rsidR="00C625BB" w:rsidRPr="00AF7BE6" w:rsidRDefault="00C625BB" w:rsidP="00AD4B93">
            <w:pPr>
              <w:spacing w:after="0" w:line="240" w:lineRule="auto"/>
              <w:jc w:val="both"/>
              <w:rPr>
                <w:lang w:val="uk-UA"/>
              </w:rPr>
            </w:pPr>
            <w:r w:rsidRPr="00AF7BE6">
              <w:rPr>
                <w:rFonts w:ascii="Times New Roman" w:eastAsia="Times New Roman" w:hAnsi="Times New Roman" w:cs="Times New Roman"/>
                <w:color w:val="000000"/>
                <w:lang w:val="uk-UA"/>
              </w:rPr>
              <w:t>включено до реєстру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C625BB" w:rsidRPr="00AF7BE6" w14:paraId="4EB4C651" w14:textId="77777777" w:rsidTr="00C625BB">
        <w:tc>
          <w:tcPr>
            <w:tcW w:w="5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78F1B" w14:textId="77777777" w:rsidR="00C625BB" w:rsidRPr="00AF7BE6" w:rsidRDefault="00C625BB" w:rsidP="00DD6215">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Місцезнаходження</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Pr>
          <w:p w14:paraId="4AB9A326" w14:textId="77777777" w:rsidR="00C625BB" w:rsidRPr="00AF7BE6" w:rsidRDefault="00C625BB" w:rsidP="00AD4B93">
            <w:pPr>
              <w:spacing w:after="0" w:line="240" w:lineRule="auto"/>
              <w:jc w:val="both"/>
              <w:rPr>
                <w:lang w:val="uk-UA"/>
              </w:rPr>
            </w:pPr>
            <w:r w:rsidRPr="00AF7BE6">
              <w:rPr>
                <w:rFonts w:ascii="Times New Roman" w:eastAsia="Times New Roman" w:hAnsi="Times New Roman" w:cs="Times New Roman"/>
                <w:color w:val="000000"/>
                <w:shd w:val="clear" w:color="auto" w:fill="FFFFFF"/>
                <w:lang w:val="uk-UA"/>
              </w:rPr>
              <w:t>Україна, 04070, місто Київ, вул. Братська, будинок 5, квартира 11</w:t>
            </w:r>
          </w:p>
        </w:tc>
      </w:tr>
    </w:tbl>
    <w:p w14:paraId="0828DF48" w14:textId="77777777" w:rsidR="00C625BB" w:rsidRPr="00AF7BE6" w:rsidRDefault="00C625BB" w:rsidP="004D6CD8">
      <w:pPr>
        <w:tabs>
          <w:tab w:val="left" w:pos="-142"/>
        </w:tabs>
        <w:spacing w:after="0" w:line="240" w:lineRule="auto"/>
        <w:rPr>
          <w:rFonts w:ascii="Times New Roman" w:eastAsia="Times New Roman" w:hAnsi="Times New Roman" w:cs="Times New Roman"/>
          <w:b/>
          <w:color w:val="000000"/>
          <w:lang w:val="uk-UA"/>
        </w:rPr>
      </w:pPr>
    </w:p>
    <w:p w14:paraId="230A7612" w14:textId="77777777" w:rsidR="00E67DC1" w:rsidRPr="00AF7BE6" w:rsidRDefault="000F64CA">
      <w:pPr>
        <w:tabs>
          <w:tab w:val="left" w:pos="-142"/>
        </w:tabs>
        <w:spacing w:after="0" w:line="240" w:lineRule="auto"/>
        <w:jc w:val="center"/>
        <w:rPr>
          <w:rFonts w:ascii="Times New Roman" w:eastAsia="Times New Roman" w:hAnsi="Times New Roman" w:cs="Times New Roman"/>
          <w:b/>
          <w:color w:val="000000"/>
          <w:lang w:val="uk-UA"/>
        </w:rPr>
      </w:pPr>
      <w:r w:rsidRPr="00AF7BE6">
        <w:rPr>
          <w:rFonts w:ascii="Times New Roman" w:eastAsia="Times New Roman" w:hAnsi="Times New Roman" w:cs="Times New Roman"/>
          <w:b/>
          <w:color w:val="000000"/>
          <w:lang w:val="uk-UA"/>
        </w:rPr>
        <w:t>Основні відомості про умови договору на проведення аудиту:</w:t>
      </w:r>
    </w:p>
    <w:p w14:paraId="63604AC2" w14:textId="77777777" w:rsidR="00E67DC1" w:rsidRPr="00AF7BE6" w:rsidRDefault="00E67DC1">
      <w:pPr>
        <w:tabs>
          <w:tab w:val="left" w:pos="-142"/>
        </w:tabs>
        <w:spacing w:after="0" w:line="240" w:lineRule="auto"/>
        <w:jc w:val="center"/>
        <w:rPr>
          <w:rFonts w:ascii="Times New Roman" w:eastAsia="Times New Roman" w:hAnsi="Times New Roman" w:cs="Times New Roman"/>
          <w:b/>
          <w:color w:val="000000"/>
          <w:lang w:val="uk-UA"/>
        </w:rPr>
      </w:pPr>
    </w:p>
    <w:tbl>
      <w:tblPr>
        <w:tblW w:w="10490" w:type="dxa"/>
        <w:tblInd w:w="108" w:type="dxa"/>
        <w:tblLayout w:type="fixed"/>
        <w:tblLook w:val="0000" w:firstRow="0" w:lastRow="0" w:firstColumn="0" w:lastColumn="0" w:noHBand="0" w:noVBand="0"/>
      </w:tblPr>
      <w:tblGrid>
        <w:gridCol w:w="5169"/>
        <w:gridCol w:w="5321"/>
      </w:tblGrid>
      <w:tr w:rsidR="005446B2" w:rsidRPr="00AF7BE6" w14:paraId="6451E1ED" w14:textId="77777777" w:rsidTr="00E73D34">
        <w:trPr>
          <w:trHeight w:val="396"/>
        </w:trPr>
        <w:tc>
          <w:tcPr>
            <w:tcW w:w="5169" w:type="dxa"/>
            <w:tcBorders>
              <w:top w:val="single" w:sz="4" w:space="0" w:color="000000"/>
              <w:left w:val="single" w:sz="4" w:space="0" w:color="000000"/>
              <w:bottom w:val="single" w:sz="4" w:space="0" w:color="000000"/>
            </w:tcBorders>
            <w:shd w:val="clear" w:color="auto" w:fill="auto"/>
            <w:vAlign w:val="center"/>
          </w:tcPr>
          <w:p w14:paraId="0020D37D" w14:textId="77777777" w:rsidR="005446B2" w:rsidRPr="00AF7BE6" w:rsidRDefault="005446B2" w:rsidP="005446B2">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Дата та номер договору на проведення аудиту</w:t>
            </w:r>
          </w:p>
        </w:tc>
        <w:tc>
          <w:tcPr>
            <w:tcW w:w="5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222E" w14:textId="7F4F35FF" w:rsidR="005446B2" w:rsidRPr="00AF7BE6" w:rsidRDefault="005446B2" w:rsidP="008A35B6">
            <w:pPr>
              <w:pStyle w:val="11"/>
              <w:snapToGrid w:val="0"/>
              <w:spacing w:before="0" w:after="0"/>
              <w:rPr>
                <w:rFonts w:ascii="Times New Roman" w:eastAsia="Times New Roman" w:hAnsi="Times New Roman" w:cs="Times New Roman"/>
                <w:color w:val="000000"/>
                <w:sz w:val="24"/>
                <w:szCs w:val="24"/>
                <w:lang w:eastAsia="ru-RU"/>
              </w:rPr>
            </w:pPr>
            <w:r w:rsidRPr="00AF7BE6">
              <w:rPr>
                <w:rFonts w:ascii="Times New Roman" w:eastAsia="Times New Roman" w:hAnsi="Times New Roman" w:cs="Times New Roman"/>
                <w:color w:val="000000"/>
                <w:sz w:val="24"/>
                <w:szCs w:val="24"/>
                <w:lang w:eastAsia="ru-RU"/>
              </w:rPr>
              <w:t xml:space="preserve">№ </w:t>
            </w:r>
            <w:r w:rsidR="001509FD" w:rsidRPr="00AF7BE6">
              <w:rPr>
                <w:rFonts w:ascii="Times New Roman" w:eastAsia="Times New Roman" w:hAnsi="Times New Roman" w:cs="Times New Roman"/>
                <w:color w:val="000000"/>
                <w:sz w:val="24"/>
                <w:szCs w:val="24"/>
                <w:lang w:eastAsia="ru-RU"/>
              </w:rPr>
              <w:t>17</w:t>
            </w:r>
            <w:r w:rsidR="008A35B6" w:rsidRPr="00AF7BE6">
              <w:rPr>
                <w:rFonts w:ascii="Times New Roman" w:eastAsia="Times New Roman" w:hAnsi="Times New Roman" w:cs="Times New Roman"/>
                <w:color w:val="000000"/>
                <w:sz w:val="24"/>
                <w:szCs w:val="24"/>
                <w:lang w:eastAsia="ru-RU"/>
              </w:rPr>
              <w:t>/</w:t>
            </w:r>
            <w:r w:rsidR="001509FD" w:rsidRPr="00AF7BE6">
              <w:rPr>
                <w:rFonts w:ascii="Times New Roman" w:eastAsia="Times New Roman" w:hAnsi="Times New Roman" w:cs="Times New Roman"/>
                <w:color w:val="000000"/>
                <w:sz w:val="24"/>
                <w:szCs w:val="24"/>
                <w:lang w:eastAsia="ru-RU"/>
              </w:rPr>
              <w:t>03</w:t>
            </w:r>
            <w:r w:rsidR="008A35B6" w:rsidRPr="00AF7BE6">
              <w:rPr>
                <w:rFonts w:ascii="Times New Roman" w:eastAsia="Times New Roman" w:hAnsi="Times New Roman" w:cs="Times New Roman"/>
                <w:color w:val="000000"/>
                <w:sz w:val="24"/>
                <w:szCs w:val="24"/>
                <w:lang w:eastAsia="ru-RU"/>
              </w:rPr>
              <w:t>-</w:t>
            </w:r>
            <w:r w:rsidR="001509FD" w:rsidRPr="00AF7BE6">
              <w:rPr>
                <w:rFonts w:ascii="Times New Roman" w:eastAsia="Times New Roman" w:hAnsi="Times New Roman" w:cs="Times New Roman"/>
                <w:color w:val="000000"/>
                <w:sz w:val="24"/>
                <w:szCs w:val="24"/>
                <w:lang w:eastAsia="ru-RU"/>
              </w:rPr>
              <w:t>А15</w:t>
            </w:r>
            <w:r w:rsidRPr="00AF7BE6">
              <w:rPr>
                <w:rFonts w:ascii="Times New Roman" w:eastAsia="Times New Roman" w:hAnsi="Times New Roman" w:cs="Times New Roman"/>
                <w:color w:val="000000"/>
                <w:sz w:val="24"/>
                <w:szCs w:val="24"/>
                <w:lang w:eastAsia="ru-RU"/>
              </w:rPr>
              <w:t xml:space="preserve"> від </w:t>
            </w:r>
            <w:r w:rsidR="001509FD" w:rsidRPr="00AF7BE6">
              <w:rPr>
                <w:rFonts w:ascii="Times New Roman" w:eastAsia="Times New Roman" w:hAnsi="Times New Roman" w:cs="Times New Roman"/>
                <w:color w:val="000000"/>
                <w:sz w:val="24"/>
                <w:szCs w:val="24"/>
                <w:lang w:eastAsia="ru-RU"/>
              </w:rPr>
              <w:t>17</w:t>
            </w:r>
            <w:r w:rsidR="008A35B6" w:rsidRPr="00AF7BE6">
              <w:rPr>
                <w:rFonts w:ascii="Times New Roman" w:eastAsia="Times New Roman" w:hAnsi="Times New Roman" w:cs="Times New Roman"/>
                <w:color w:val="000000"/>
                <w:sz w:val="24"/>
                <w:szCs w:val="24"/>
                <w:lang w:eastAsia="ru-RU"/>
              </w:rPr>
              <w:t xml:space="preserve"> </w:t>
            </w:r>
            <w:r w:rsidR="001509FD" w:rsidRPr="00AF7BE6">
              <w:rPr>
                <w:rFonts w:ascii="Times New Roman" w:eastAsia="Times New Roman" w:hAnsi="Times New Roman" w:cs="Times New Roman"/>
                <w:color w:val="000000"/>
                <w:sz w:val="24"/>
                <w:szCs w:val="24"/>
                <w:lang w:eastAsia="ru-RU"/>
              </w:rPr>
              <w:t>березня</w:t>
            </w:r>
            <w:r w:rsidR="008A35B6" w:rsidRPr="00AF7BE6">
              <w:rPr>
                <w:rFonts w:ascii="Times New Roman" w:eastAsia="Times New Roman" w:hAnsi="Times New Roman" w:cs="Times New Roman"/>
                <w:color w:val="000000"/>
                <w:sz w:val="24"/>
                <w:szCs w:val="24"/>
                <w:lang w:eastAsia="ru-RU"/>
              </w:rPr>
              <w:t xml:space="preserve"> </w:t>
            </w:r>
            <w:r w:rsidRPr="00AF7BE6">
              <w:rPr>
                <w:rFonts w:ascii="Times New Roman" w:eastAsia="Times New Roman" w:hAnsi="Times New Roman" w:cs="Times New Roman"/>
                <w:color w:val="000000"/>
                <w:sz w:val="24"/>
                <w:szCs w:val="24"/>
                <w:lang w:eastAsia="ru-RU"/>
              </w:rPr>
              <w:t>2021 року</w:t>
            </w:r>
          </w:p>
        </w:tc>
      </w:tr>
      <w:tr w:rsidR="005446B2" w:rsidRPr="00AF7BE6" w14:paraId="02FFF3A3" w14:textId="77777777" w:rsidTr="00E73D34">
        <w:trPr>
          <w:trHeight w:val="516"/>
        </w:trPr>
        <w:tc>
          <w:tcPr>
            <w:tcW w:w="5169" w:type="dxa"/>
            <w:tcBorders>
              <w:top w:val="single" w:sz="4" w:space="0" w:color="000000"/>
              <w:left w:val="single" w:sz="4" w:space="0" w:color="000000"/>
              <w:bottom w:val="single" w:sz="4" w:space="0" w:color="000000"/>
            </w:tcBorders>
            <w:shd w:val="clear" w:color="auto" w:fill="auto"/>
            <w:vAlign w:val="center"/>
          </w:tcPr>
          <w:p w14:paraId="3455378C" w14:textId="77777777" w:rsidR="005446B2" w:rsidRPr="00AF7BE6" w:rsidRDefault="005446B2" w:rsidP="005446B2">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Дата початку та дата закінчення проведення аудиту</w:t>
            </w:r>
          </w:p>
        </w:tc>
        <w:tc>
          <w:tcPr>
            <w:tcW w:w="5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BF84" w14:textId="0759B05F" w:rsidR="005446B2" w:rsidRPr="00AF7BE6" w:rsidRDefault="005446B2" w:rsidP="008A35B6">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 xml:space="preserve">з </w:t>
            </w:r>
            <w:r w:rsidR="001509FD" w:rsidRPr="00AF7BE6">
              <w:rPr>
                <w:rFonts w:ascii="Times New Roman" w:eastAsia="Times New Roman" w:hAnsi="Times New Roman" w:cs="Times New Roman"/>
                <w:color w:val="000000"/>
                <w:sz w:val="24"/>
                <w:szCs w:val="24"/>
                <w:lang w:val="uk-UA"/>
              </w:rPr>
              <w:t>17</w:t>
            </w:r>
            <w:r w:rsidR="008A35B6" w:rsidRPr="00AF7BE6">
              <w:rPr>
                <w:rFonts w:ascii="Times New Roman" w:eastAsia="Times New Roman" w:hAnsi="Times New Roman" w:cs="Times New Roman"/>
                <w:color w:val="000000"/>
                <w:sz w:val="24"/>
                <w:szCs w:val="24"/>
                <w:lang w:val="uk-UA"/>
              </w:rPr>
              <w:t xml:space="preserve"> березня </w:t>
            </w:r>
            <w:r w:rsidRPr="00AF7BE6">
              <w:rPr>
                <w:rFonts w:ascii="Times New Roman" w:eastAsia="Times New Roman" w:hAnsi="Times New Roman" w:cs="Times New Roman"/>
                <w:color w:val="000000"/>
                <w:sz w:val="24"/>
                <w:szCs w:val="24"/>
                <w:lang w:val="uk-UA"/>
              </w:rPr>
              <w:t xml:space="preserve">року  по </w:t>
            </w:r>
            <w:r w:rsidR="001509FD" w:rsidRPr="00AF7BE6">
              <w:rPr>
                <w:rFonts w:ascii="Times New Roman" w:eastAsia="Times New Roman" w:hAnsi="Times New Roman" w:cs="Times New Roman"/>
                <w:color w:val="000000"/>
                <w:sz w:val="24"/>
                <w:szCs w:val="24"/>
                <w:lang w:val="uk-UA"/>
              </w:rPr>
              <w:t>05</w:t>
            </w:r>
            <w:r w:rsidR="00DD7DC6" w:rsidRPr="00AF7BE6">
              <w:rPr>
                <w:rFonts w:ascii="Times New Roman" w:eastAsia="Times New Roman" w:hAnsi="Times New Roman" w:cs="Times New Roman"/>
                <w:color w:val="000000"/>
                <w:sz w:val="24"/>
                <w:szCs w:val="24"/>
                <w:lang w:val="uk-UA"/>
              </w:rPr>
              <w:t xml:space="preserve"> </w:t>
            </w:r>
            <w:r w:rsidR="00DE44B4" w:rsidRPr="00AF7BE6">
              <w:rPr>
                <w:rFonts w:ascii="Times New Roman" w:eastAsia="Times New Roman" w:hAnsi="Times New Roman" w:cs="Times New Roman"/>
                <w:color w:val="000000"/>
                <w:sz w:val="24"/>
                <w:szCs w:val="24"/>
                <w:lang w:val="uk-UA"/>
              </w:rPr>
              <w:t>квітня</w:t>
            </w:r>
            <w:r w:rsidR="00DD7DC6" w:rsidRPr="00AF7BE6">
              <w:rPr>
                <w:rFonts w:ascii="Times New Roman" w:eastAsia="Times New Roman" w:hAnsi="Times New Roman" w:cs="Times New Roman"/>
                <w:color w:val="000000"/>
                <w:sz w:val="24"/>
                <w:szCs w:val="24"/>
                <w:lang w:val="uk-UA"/>
              </w:rPr>
              <w:t xml:space="preserve"> 2021</w:t>
            </w:r>
            <w:r w:rsidRPr="00AF7BE6">
              <w:rPr>
                <w:rFonts w:ascii="Times New Roman" w:eastAsia="Times New Roman" w:hAnsi="Times New Roman" w:cs="Times New Roman"/>
                <w:color w:val="000000"/>
                <w:sz w:val="24"/>
                <w:szCs w:val="24"/>
                <w:lang w:val="uk-UA"/>
              </w:rPr>
              <w:t xml:space="preserve"> року</w:t>
            </w:r>
          </w:p>
        </w:tc>
      </w:tr>
      <w:tr w:rsidR="005446B2" w:rsidRPr="001C3486" w14:paraId="6CF94422" w14:textId="77777777" w:rsidTr="00E73D34">
        <w:trPr>
          <w:trHeight w:val="516"/>
        </w:trPr>
        <w:tc>
          <w:tcPr>
            <w:tcW w:w="5169" w:type="dxa"/>
            <w:tcBorders>
              <w:top w:val="single" w:sz="4" w:space="0" w:color="000000"/>
              <w:left w:val="single" w:sz="4" w:space="0" w:color="000000"/>
              <w:bottom w:val="single" w:sz="4" w:space="0" w:color="000000"/>
            </w:tcBorders>
            <w:shd w:val="clear" w:color="auto" w:fill="auto"/>
            <w:vAlign w:val="center"/>
          </w:tcPr>
          <w:p w14:paraId="30326F09" w14:textId="77777777" w:rsidR="005446B2" w:rsidRPr="00AF7BE6" w:rsidRDefault="005446B2" w:rsidP="005446B2">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Дата складання аудиторського висновку</w:t>
            </w:r>
          </w:p>
        </w:tc>
        <w:tc>
          <w:tcPr>
            <w:tcW w:w="5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764E" w14:textId="669AB611" w:rsidR="005446B2" w:rsidRPr="00AF7BE6" w:rsidRDefault="001509FD" w:rsidP="008A35B6">
            <w:pPr>
              <w:spacing w:after="0" w:line="240" w:lineRule="auto"/>
              <w:rPr>
                <w:rFonts w:ascii="Times New Roman" w:eastAsia="Times New Roman" w:hAnsi="Times New Roman" w:cs="Times New Roman"/>
                <w:color w:val="000000"/>
                <w:sz w:val="24"/>
                <w:szCs w:val="24"/>
                <w:lang w:val="uk-UA"/>
              </w:rPr>
            </w:pPr>
            <w:r w:rsidRPr="00AF7BE6">
              <w:rPr>
                <w:rFonts w:ascii="Times New Roman" w:eastAsia="Times New Roman" w:hAnsi="Times New Roman" w:cs="Times New Roman"/>
                <w:color w:val="000000"/>
                <w:sz w:val="24"/>
                <w:szCs w:val="24"/>
                <w:lang w:val="uk-UA"/>
              </w:rPr>
              <w:t>05</w:t>
            </w:r>
            <w:r w:rsidR="008A35B6" w:rsidRPr="00AF7BE6">
              <w:rPr>
                <w:rFonts w:ascii="Times New Roman" w:eastAsia="Times New Roman" w:hAnsi="Times New Roman" w:cs="Times New Roman"/>
                <w:color w:val="000000"/>
                <w:sz w:val="24"/>
                <w:szCs w:val="24"/>
                <w:lang w:val="uk-UA"/>
              </w:rPr>
              <w:t xml:space="preserve"> </w:t>
            </w:r>
            <w:r w:rsidR="00DE44B4" w:rsidRPr="00AF7BE6">
              <w:rPr>
                <w:rFonts w:ascii="Times New Roman" w:eastAsia="Times New Roman" w:hAnsi="Times New Roman" w:cs="Times New Roman"/>
                <w:color w:val="000000"/>
                <w:sz w:val="24"/>
                <w:szCs w:val="24"/>
                <w:lang w:val="uk-UA"/>
              </w:rPr>
              <w:t>квітня</w:t>
            </w:r>
            <w:r w:rsidR="00DD7DC6" w:rsidRPr="00AF7BE6">
              <w:rPr>
                <w:rFonts w:ascii="Times New Roman" w:eastAsia="Times New Roman" w:hAnsi="Times New Roman" w:cs="Times New Roman"/>
                <w:color w:val="000000"/>
                <w:sz w:val="24"/>
                <w:szCs w:val="24"/>
                <w:lang w:val="uk-UA"/>
              </w:rPr>
              <w:t xml:space="preserve"> 2021</w:t>
            </w:r>
            <w:r w:rsidR="005446B2" w:rsidRPr="00AF7BE6">
              <w:rPr>
                <w:rFonts w:ascii="Times New Roman" w:eastAsia="Times New Roman" w:hAnsi="Times New Roman" w:cs="Times New Roman"/>
                <w:color w:val="000000"/>
                <w:sz w:val="24"/>
                <w:szCs w:val="24"/>
                <w:lang w:val="uk-UA"/>
              </w:rPr>
              <w:t xml:space="preserve"> р</w:t>
            </w:r>
            <w:r w:rsidR="001B0FD7" w:rsidRPr="00AF7BE6">
              <w:rPr>
                <w:rFonts w:ascii="Times New Roman" w:eastAsia="Times New Roman" w:hAnsi="Times New Roman" w:cs="Times New Roman"/>
                <w:color w:val="000000"/>
                <w:sz w:val="24"/>
                <w:szCs w:val="24"/>
                <w:lang w:val="uk-UA"/>
              </w:rPr>
              <w:t>оку</w:t>
            </w:r>
          </w:p>
        </w:tc>
      </w:tr>
    </w:tbl>
    <w:p w14:paraId="31B7B63A" w14:textId="77777777" w:rsidR="000F64CA" w:rsidRPr="00E03F0A" w:rsidRDefault="000F64CA" w:rsidP="00E33491">
      <w:pPr>
        <w:spacing w:after="0" w:line="240" w:lineRule="auto"/>
        <w:jc w:val="both"/>
        <w:rPr>
          <w:rFonts w:ascii="Times New Roman" w:eastAsia="Times New Roman" w:hAnsi="Times New Roman" w:cs="Times New Roman"/>
          <w:color w:val="000000"/>
          <w:sz w:val="24"/>
          <w:lang w:val="uk-UA"/>
        </w:rPr>
      </w:pPr>
    </w:p>
    <w:sectPr w:rsidR="000F64CA" w:rsidRPr="00E03F0A" w:rsidSect="00AF30E2">
      <w:footerReference w:type="default" r:id="rId9"/>
      <w:pgSz w:w="11906" w:h="16838"/>
      <w:pgMar w:top="567" w:right="424" w:bottom="1134"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CCF" w14:textId="77777777" w:rsidR="00016449" w:rsidRDefault="00016449" w:rsidP="000A74AD">
      <w:pPr>
        <w:spacing w:after="0" w:line="240" w:lineRule="auto"/>
      </w:pPr>
      <w:r>
        <w:separator/>
      </w:r>
    </w:p>
  </w:endnote>
  <w:endnote w:type="continuationSeparator" w:id="0">
    <w:p w14:paraId="5DBF808B" w14:textId="77777777" w:rsidR="00016449" w:rsidRDefault="00016449" w:rsidP="000A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8576"/>
      <w:docPartObj>
        <w:docPartGallery w:val="Page Numbers (Bottom of Page)"/>
        <w:docPartUnique/>
      </w:docPartObj>
    </w:sdtPr>
    <w:sdtEndPr/>
    <w:sdtContent>
      <w:p w14:paraId="436C6623" w14:textId="1ED73A44" w:rsidR="00AD4B93" w:rsidRDefault="00AD4B93">
        <w:pPr>
          <w:pStyle w:val="aa"/>
          <w:jc w:val="right"/>
        </w:pPr>
        <w:r>
          <w:fldChar w:fldCharType="begin"/>
        </w:r>
        <w:r>
          <w:instrText xml:space="preserve"> PAGE   \* MERGEFORMAT </w:instrText>
        </w:r>
        <w:r>
          <w:fldChar w:fldCharType="separate"/>
        </w:r>
        <w:r w:rsidR="00AF7BE6">
          <w:rPr>
            <w:noProof/>
          </w:rPr>
          <w:t>13</w:t>
        </w:r>
        <w:r>
          <w:rPr>
            <w:noProof/>
          </w:rPr>
          <w:fldChar w:fldCharType="end"/>
        </w:r>
      </w:p>
    </w:sdtContent>
  </w:sdt>
  <w:p w14:paraId="30972BBA" w14:textId="77777777" w:rsidR="00AD4B93" w:rsidRDefault="00AD4B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A778D" w14:textId="77777777" w:rsidR="00016449" w:rsidRDefault="00016449" w:rsidP="000A74AD">
      <w:pPr>
        <w:spacing w:after="0" w:line="240" w:lineRule="auto"/>
      </w:pPr>
      <w:r>
        <w:separator/>
      </w:r>
    </w:p>
  </w:footnote>
  <w:footnote w:type="continuationSeparator" w:id="0">
    <w:p w14:paraId="4D3E4547" w14:textId="77777777" w:rsidR="00016449" w:rsidRDefault="00016449" w:rsidP="000A7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2C2"/>
    <w:multiLevelType w:val="hybridMultilevel"/>
    <w:tmpl w:val="B7B29B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D938E4"/>
    <w:multiLevelType w:val="hybridMultilevel"/>
    <w:tmpl w:val="6C88FBE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 w15:restartNumberingAfterBreak="0">
    <w:nsid w:val="0DDE402D"/>
    <w:multiLevelType w:val="hybridMultilevel"/>
    <w:tmpl w:val="ECC4B65E"/>
    <w:lvl w:ilvl="0" w:tplc="03C62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F16506"/>
    <w:multiLevelType w:val="hybridMultilevel"/>
    <w:tmpl w:val="AAF4E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C907CE"/>
    <w:multiLevelType w:val="multilevel"/>
    <w:tmpl w:val="41CA3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112C1"/>
    <w:multiLevelType w:val="multilevel"/>
    <w:tmpl w:val="38265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F6FA6"/>
    <w:multiLevelType w:val="hybridMultilevel"/>
    <w:tmpl w:val="503A3A98"/>
    <w:lvl w:ilvl="0" w:tplc="643CF07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FB18B7"/>
    <w:multiLevelType w:val="hybridMultilevel"/>
    <w:tmpl w:val="C08A0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740B34"/>
    <w:multiLevelType w:val="hybridMultilevel"/>
    <w:tmpl w:val="F6747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6E7A52"/>
    <w:multiLevelType w:val="multilevel"/>
    <w:tmpl w:val="7B586044"/>
    <w:lvl w:ilvl="0">
      <w:start w:val="4"/>
      <w:numFmt w:val="decimal"/>
      <w:pStyle w:val="Numberheading1"/>
      <w:lvlText w:val="%1"/>
      <w:lvlJc w:val="left"/>
      <w:pPr>
        <w:tabs>
          <w:tab w:val="num" w:pos="850"/>
        </w:tabs>
        <w:ind w:left="0" w:firstLine="0"/>
      </w:pPr>
      <w:rPr>
        <w:rFonts w:hint="default"/>
      </w:rPr>
    </w:lvl>
    <w:lvl w:ilvl="1">
      <w:start w:val="1"/>
      <w:numFmt w:val="decimal"/>
      <w:lvlText w:val="%1.%2"/>
      <w:lvlJc w:val="left"/>
      <w:pPr>
        <w:tabs>
          <w:tab w:val="num" w:pos="85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1A53A02"/>
    <w:multiLevelType w:val="hybridMultilevel"/>
    <w:tmpl w:val="370C4472"/>
    <w:lvl w:ilvl="0" w:tplc="3828E878">
      <w:start w:val="3"/>
      <w:numFmt w:val="bullet"/>
      <w:lvlText w:val="-"/>
      <w:lvlJc w:val="left"/>
      <w:pPr>
        <w:ind w:left="1337" w:hanging="360"/>
      </w:pPr>
      <w:rPr>
        <w:rFonts w:ascii="Times New Roman" w:eastAsiaTheme="minorHAnsi" w:hAnsi="Times New Roman" w:cs="Times New Roman"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1" w15:restartNumberingAfterBreak="0">
    <w:nsid w:val="3C6B0F22"/>
    <w:multiLevelType w:val="multilevel"/>
    <w:tmpl w:val="6FC2F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744CF"/>
    <w:multiLevelType w:val="hybridMultilevel"/>
    <w:tmpl w:val="E334F1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53457E2"/>
    <w:multiLevelType w:val="hybridMultilevel"/>
    <w:tmpl w:val="A59AA4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6E4829"/>
    <w:multiLevelType w:val="hybridMultilevel"/>
    <w:tmpl w:val="294812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E6A37A0"/>
    <w:multiLevelType w:val="hybridMultilevel"/>
    <w:tmpl w:val="4A7AC076"/>
    <w:lvl w:ilvl="0" w:tplc="CC1A7BA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3"/>
  </w:num>
  <w:num w:numId="5">
    <w:abstractNumId w:val="1"/>
  </w:num>
  <w:num w:numId="6">
    <w:abstractNumId w:val="8"/>
  </w:num>
  <w:num w:numId="7">
    <w:abstractNumId w:val="14"/>
  </w:num>
  <w:num w:numId="8">
    <w:abstractNumId w:val="0"/>
  </w:num>
  <w:num w:numId="9">
    <w:abstractNumId w:val="9"/>
  </w:num>
  <w:num w:numId="10">
    <w:abstractNumId w:val="10"/>
  </w:num>
  <w:num w:numId="11">
    <w:abstractNumId w:val="3"/>
  </w:num>
  <w:num w:numId="12">
    <w:abstractNumId w:val="12"/>
  </w:num>
  <w:num w:numId="13">
    <w:abstractNumId w:val="7"/>
  </w:num>
  <w:num w:numId="14">
    <w:abstractNumId w:val="6"/>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C1"/>
    <w:rsid w:val="0000239F"/>
    <w:rsid w:val="0000558E"/>
    <w:rsid w:val="000112BF"/>
    <w:rsid w:val="000115DE"/>
    <w:rsid w:val="000135E3"/>
    <w:rsid w:val="0001581D"/>
    <w:rsid w:val="00016449"/>
    <w:rsid w:val="000203C3"/>
    <w:rsid w:val="0002256A"/>
    <w:rsid w:val="00022BF1"/>
    <w:rsid w:val="00023D24"/>
    <w:rsid w:val="000244D4"/>
    <w:rsid w:val="0002472E"/>
    <w:rsid w:val="00027095"/>
    <w:rsid w:val="00027553"/>
    <w:rsid w:val="00027AD6"/>
    <w:rsid w:val="00027B0A"/>
    <w:rsid w:val="00034EF7"/>
    <w:rsid w:val="00034FEF"/>
    <w:rsid w:val="0003571A"/>
    <w:rsid w:val="000365C0"/>
    <w:rsid w:val="000419BA"/>
    <w:rsid w:val="0004268E"/>
    <w:rsid w:val="00043EBD"/>
    <w:rsid w:val="00047134"/>
    <w:rsid w:val="0005391D"/>
    <w:rsid w:val="00053D5B"/>
    <w:rsid w:val="000603C4"/>
    <w:rsid w:val="00060D02"/>
    <w:rsid w:val="00062ADA"/>
    <w:rsid w:val="00064688"/>
    <w:rsid w:val="00065E49"/>
    <w:rsid w:val="00065F81"/>
    <w:rsid w:val="0006630C"/>
    <w:rsid w:val="000735BC"/>
    <w:rsid w:val="00076C1F"/>
    <w:rsid w:val="00081977"/>
    <w:rsid w:val="00082D3E"/>
    <w:rsid w:val="00083857"/>
    <w:rsid w:val="00084592"/>
    <w:rsid w:val="00084A00"/>
    <w:rsid w:val="00085792"/>
    <w:rsid w:val="000902FF"/>
    <w:rsid w:val="0009448C"/>
    <w:rsid w:val="00095761"/>
    <w:rsid w:val="000964E7"/>
    <w:rsid w:val="000A74AD"/>
    <w:rsid w:val="000C17AE"/>
    <w:rsid w:val="000C1FBE"/>
    <w:rsid w:val="000C4911"/>
    <w:rsid w:val="000C6063"/>
    <w:rsid w:val="000C7FDF"/>
    <w:rsid w:val="000D1194"/>
    <w:rsid w:val="000D231A"/>
    <w:rsid w:val="000D3B95"/>
    <w:rsid w:val="000D5240"/>
    <w:rsid w:val="000D6E67"/>
    <w:rsid w:val="000D72FC"/>
    <w:rsid w:val="000D73D2"/>
    <w:rsid w:val="000E2B5F"/>
    <w:rsid w:val="000F0111"/>
    <w:rsid w:val="000F2CB5"/>
    <w:rsid w:val="000F3784"/>
    <w:rsid w:val="000F5676"/>
    <w:rsid w:val="000F64CA"/>
    <w:rsid w:val="00102D55"/>
    <w:rsid w:val="00111FBA"/>
    <w:rsid w:val="0012053F"/>
    <w:rsid w:val="00121981"/>
    <w:rsid w:val="00121E37"/>
    <w:rsid w:val="00122DC8"/>
    <w:rsid w:val="001230B6"/>
    <w:rsid w:val="00126AAF"/>
    <w:rsid w:val="00131550"/>
    <w:rsid w:val="00133688"/>
    <w:rsid w:val="001345EE"/>
    <w:rsid w:val="001374E8"/>
    <w:rsid w:val="001378AC"/>
    <w:rsid w:val="00137968"/>
    <w:rsid w:val="001402BC"/>
    <w:rsid w:val="00140F5D"/>
    <w:rsid w:val="00140FBE"/>
    <w:rsid w:val="001411B1"/>
    <w:rsid w:val="001477D8"/>
    <w:rsid w:val="001509FD"/>
    <w:rsid w:val="00150B1A"/>
    <w:rsid w:val="00152318"/>
    <w:rsid w:val="00155F88"/>
    <w:rsid w:val="001565AD"/>
    <w:rsid w:val="001618AB"/>
    <w:rsid w:val="00163853"/>
    <w:rsid w:val="0016620D"/>
    <w:rsid w:val="00166770"/>
    <w:rsid w:val="00170DE0"/>
    <w:rsid w:val="00171D9B"/>
    <w:rsid w:val="00186CE4"/>
    <w:rsid w:val="00192C23"/>
    <w:rsid w:val="00192F67"/>
    <w:rsid w:val="00195005"/>
    <w:rsid w:val="00196C2C"/>
    <w:rsid w:val="001A0EDB"/>
    <w:rsid w:val="001A2391"/>
    <w:rsid w:val="001A5F10"/>
    <w:rsid w:val="001A6F80"/>
    <w:rsid w:val="001B0FD7"/>
    <w:rsid w:val="001B3A50"/>
    <w:rsid w:val="001B6412"/>
    <w:rsid w:val="001B77FE"/>
    <w:rsid w:val="001C11C3"/>
    <w:rsid w:val="001C3B63"/>
    <w:rsid w:val="001C4ADA"/>
    <w:rsid w:val="001C50DE"/>
    <w:rsid w:val="001C70AC"/>
    <w:rsid w:val="001D249F"/>
    <w:rsid w:val="001D2638"/>
    <w:rsid w:val="001D2C47"/>
    <w:rsid w:val="001D47B3"/>
    <w:rsid w:val="001D47E6"/>
    <w:rsid w:val="001D509E"/>
    <w:rsid w:val="001D7DA8"/>
    <w:rsid w:val="001E0ADE"/>
    <w:rsid w:val="001E121D"/>
    <w:rsid w:val="001E46C8"/>
    <w:rsid w:val="001E7AD0"/>
    <w:rsid w:val="001E7C64"/>
    <w:rsid w:val="001F0B47"/>
    <w:rsid w:val="001F28B0"/>
    <w:rsid w:val="001F348F"/>
    <w:rsid w:val="001F41C2"/>
    <w:rsid w:val="001F6095"/>
    <w:rsid w:val="00200FBF"/>
    <w:rsid w:val="002021FB"/>
    <w:rsid w:val="00202402"/>
    <w:rsid w:val="002033D4"/>
    <w:rsid w:val="0021401E"/>
    <w:rsid w:val="002153B4"/>
    <w:rsid w:val="002163C1"/>
    <w:rsid w:val="00220012"/>
    <w:rsid w:val="00220BF6"/>
    <w:rsid w:val="00222101"/>
    <w:rsid w:val="00222A81"/>
    <w:rsid w:val="002261ED"/>
    <w:rsid w:val="00226CFA"/>
    <w:rsid w:val="002274F0"/>
    <w:rsid w:val="0023049C"/>
    <w:rsid w:val="002327CD"/>
    <w:rsid w:val="0023772D"/>
    <w:rsid w:val="002437F4"/>
    <w:rsid w:val="00251C38"/>
    <w:rsid w:val="00256CE1"/>
    <w:rsid w:val="0026145A"/>
    <w:rsid w:val="00265565"/>
    <w:rsid w:val="002675C9"/>
    <w:rsid w:val="002711A0"/>
    <w:rsid w:val="00276D47"/>
    <w:rsid w:val="00283057"/>
    <w:rsid w:val="002841D2"/>
    <w:rsid w:val="00287E87"/>
    <w:rsid w:val="00295BA6"/>
    <w:rsid w:val="00295BAD"/>
    <w:rsid w:val="002A455E"/>
    <w:rsid w:val="002B3A7C"/>
    <w:rsid w:val="002B4619"/>
    <w:rsid w:val="002B6CA7"/>
    <w:rsid w:val="002B7B9D"/>
    <w:rsid w:val="002C065E"/>
    <w:rsid w:val="002C0E51"/>
    <w:rsid w:val="002C1B4F"/>
    <w:rsid w:val="002D104D"/>
    <w:rsid w:val="002D4B81"/>
    <w:rsid w:val="002E170D"/>
    <w:rsid w:val="002E20C1"/>
    <w:rsid w:val="002E260E"/>
    <w:rsid w:val="002E607D"/>
    <w:rsid w:val="002E65BD"/>
    <w:rsid w:val="002F1B52"/>
    <w:rsid w:val="002F41A4"/>
    <w:rsid w:val="002F6F57"/>
    <w:rsid w:val="002F7EFC"/>
    <w:rsid w:val="003010FF"/>
    <w:rsid w:val="00302604"/>
    <w:rsid w:val="00302D07"/>
    <w:rsid w:val="0030335E"/>
    <w:rsid w:val="00303D83"/>
    <w:rsid w:val="00304299"/>
    <w:rsid w:val="00304AE5"/>
    <w:rsid w:val="00304BB1"/>
    <w:rsid w:val="003119F9"/>
    <w:rsid w:val="00313F92"/>
    <w:rsid w:val="00316199"/>
    <w:rsid w:val="00316C0C"/>
    <w:rsid w:val="00320F79"/>
    <w:rsid w:val="0032204A"/>
    <w:rsid w:val="003221F5"/>
    <w:rsid w:val="003250AC"/>
    <w:rsid w:val="003273EB"/>
    <w:rsid w:val="00327FD7"/>
    <w:rsid w:val="00332381"/>
    <w:rsid w:val="0034159F"/>
    <w:rsid w:val="00341959"/>
    <w:rsid w:val="0034430A"/>
    <w:rsid w:val="00344E6E"/>
    <w:rsid w:val="00345135"/>
    <w:rsid w:val="00346123"/>
    <w:rsid w:val="003472C4"/>
    <w:rsid w:val="0035185B"/>
    <w:rsid w:val="003531FF"/>
    <w:rsid w:val="0035520A"/>
    <w:rsid w:val="0035539A"/>
    <w:rsid w:val="003619D0"/>
    <w:rsid w:val="003624AF"/>
    <w:rsid w:val="003641FB"/>
    <w:rsid w:val="003676BB"/>
    <w:rsid w:val="00370239"/>
    <w:rsid w:val="0037138B"/>
    <w:rsid w:val="00372131"/>
    <w:rsid w:val="00375B2D"/>
    <w:rsid w:val="00376F5B"/>
    <w:rsid w:val="00383108"/>
    <w:rsid w:val="003849B0"/>
    <w:rsid w:val="00385474"/>
    <w:rsid w:val="00387497"/>
    <w:rsid w:val="00387BC7"/>
    <w:rsid w:val="00390D24"/>
    <w:rsid w:val="00393DFD"/>
    <w:rsid w:val="003A1B7B"/>
    <w:rsid w:val="003A20C7"/>
    <w:rsid w:val="003A2690"/>
    <w:rsid w:val="003A6605"/>
    <w:rsid w:val="003A6DAA"/>
    <w:rsid w:val="003A7219"/>
    <w:rsid w:val="003C14CD"/>
    <w:rsid w:val="003C208E"/>
    <w:rsid w:val="003C7174"/>
    <w:rsid w:val="003D62AC"/>
    <w:rsid w:val="003E571B"/>
    <w:rsid w:val="003E7A7D"/>
    <w:rsid w:val="003E7DE7"/>
    <w:rsid w:val="003F1A32"/>
    <w:rsid w:val="003F7153"/>
    <w:rsid w:val="003F761C"/>
    <w:rsid w:val="003F7890"/>
    <w:rsid w:val="00401C3D"/>
    <w:rsid w:val="004021FA"/>
    <w:rsid w:val="004043A6"/>
    <w:rsid w:val="00412236"/>
    <w:rsid w:val="00420937"/>
    <w:rsid w:val="00420AE5"/>
    <w:rsid w:val="0042539B"/>
    <w:rsid w:val="00433289"/>
    <w:rsid w:val="00433F3D"/>
    <w:rsid w:val="00434758"/>
    <w:rsid w:val="004441C3"/>
    <w:rsid w:val="00447899"/>
    <w:rsid w:val="0045011E"/>
    <w:rsid w:val="004507E3"/>
    <w:rsid w:val="004507E9"/>
    <w:rsid w:val="00451DDE"/>
    <w:rsid w:val="0045697A"/>
    <w:rsid w:val="00460B82"/>
    <w:rsid w:val="004657F9"/>
    <w:rsid w:val="00471736"/>
    <w:rsid w:val="004728CA"/>
    <w:rsid w:val="00475085"/>
    <w:rsid w:val="00476EE3"/>
    <w:rsid w:val="0048250E"/>
    <w:rsid w:val="00482B94"/>
    <w:rsid w:val="00483A2C"/>
    <w:rsid w:val="00484F82"/>
    <w:rsid w:val="004907A9"/>
    <w:rsid w:val="004917B0"/>
    <w:rsid w:val="0049334D"/>
    <w:rsid w:val="00493BD6"/>
    <w:rsid w:val="00494933"/>
    <w:rsid w:val="00494BD4"/>
    <w:rsid w:val="004A3974"/>
    <w:rsid w:val="004A49AB"/>
    <w:rsid w:val="004A539B"/>
    <w:rsid w:val="004A5EC2"/>
    <w:rsid w:val="004A61D0"/>
    <w:rsid w:val="004B0EDA"/>
    <w:rsid w:val="004B13AB"/>
    <w:rsid w:val="004B1EF6"/>
    <w:rsid w:val="004B2F59"/>
    <w:rsid w:val="004C11C4"/>
    <w:rsid w:val="004C3149"/>
    <w:rsid w:val="004C32D6"/>
    <w:rsid w:val="004D12A5"/>
    <w:rsid w:val="004D1E9C"/>
    <w:rsid w:val="004D5F54"/>
    <w:rsid w:val="004D6CD8"/>
    <w:rsid w:val="004E679E"/>
    <w:rsid w:val="004E71E0"/>
    <w:rsid w:val="004F7C05"/>
    <w:rsid w:val="00500227"/>
    <w:rsid w:val="0050205D"/>
    <w:rsid w:val="005022F6"/>
    <w:rsid w:val="00503EA9"/>
    <w:rsid w:val="00504C1B"/>
    <w:rsid w:val="0051088A"/>
    <w:rsid w:val="005155DA"/>
    <w:rsid w:val="00516458"/>
    <w:rsid w:val="005213E1"/>
    <w:rsid w:val="00522541"/>
    <w:rsid w:val="00524792"/>
    <w:rsid w:val="00524C95"/>
    <w:rsid w:val="00526998"/>
    <w:rsid w:val="00531A6F"/>
    <w:rsid w:val="00533D0F"/>
    <w:rsid w:val="00536F74"/>
    <w:rsid w:val="00541451"/>
    <w:rsid w:val="00541C38"/>
    <w:rsid w:val="005434AF"/>
    <w:rsid w:val="00543606"/>
    <w:rsid w:val="005446B2"/>
    <w:rsid w:val="00545E7F"/>
    <w:rsid w:val="00546328"/>
    <w:rsid w:val="0055058D"/>
    <w:rsid w:val="005527CD"/>
    <w:rsid w:val="00554E45"/>
    <w:rsid w:val="0056170E"/>
    <w:rsid w:val="00561B27"/>
    <w:rsid w:val="00562A37"/>
    <w:rsid w:val="00562B32"/>
    <w:rsid w:val="005630C8"/>
    <w:rsid w:val="00564BED"/>
    <w:rsid w:val="00564E21"/>
    <w:rsid w:val="00570073"/>
    <w:rsid w:val="00570936"/>
    <w:rsid w:val="005719A3"/>
    <w:rsid w:val="00573AB6"/>
    <w:rsid w:val="0057517A"/>
    <w:rsid w:val="0057744B"/>
    <w:rsid w:val="0057795E"/>
    <w:rsid w:val="0058020D"/>
    <w:rsid w:val="005844AF"/>
    <w:rsid w:val="0058487F"/>
    <w:rsid w:val="00585F4C"/>
    <w:rsid w:val="0059269A"/>
    <w:rsid w:val="0059466C"/>
    <w:rsid w:val="005A0D8D"/>
    <w:rsid w:val="005A7414"/>
    <w:rsid w:val="005A7578"/>
    <w:rsid w:val="005A7CB8"/>
    <w:rsid w:val="005B5119"/>
    <w:rsid w:val="005B55C1"/>
    <w:rsid w:val="005C048E"/>
    <w:rsid w:val="005C1690"/>
    <w:rsid w:val="005C2E2E"/>
    <w:rsid w:val="005D4EDB"/>
    <w:rsid w:val="005D5BC4"/>
    <w:rsid w:val="005E6A2B"/>
    <w:rsid w:val="005E6DFB"/>
    <w:rsid w:val="005E6FF6"/>
    <w:rsid w:val="005F2DE1"/>
    <w:rsid w:val="005F6970"/>
    <w:rsid w:val="00610ADE"/>
    <w:rsid w:val="00614B66"/>
    <w:rsid w:val="006151F6"/>
    <w:rsid w:val="00617A16"/>
    <w:rsid w:val="00620D52"/>
    <w:rsid w:val="00622791"/>
    <w:rsid w:val="00631E49"/>
    <w:rsid w:val="006377D2"/>
    <w:rsid w:val="00646011"/>
    <w:rsid w:val="006463B7"/>
    <w:rsid w:val="006515BD"/>
    <w:rsid w:val="00652DBB"/>
    <w:rsid w:val="00653701"/>
    <w:rsid w:val="006545EE"/>
    <w:rsid w:val="006620BA"/>
    <w:rsid w:val="00664A72"/>
    <w:rsid w:val="006663CD"/>
    <w:rsid w:val="00671898"/>
    <w:rsid w:val="00672E0B"/>
    <w:rsid w:val="006748A1"/>
    <w:rsid w:val="00676F60"/>
    <w:rsid w:val="006826BF"/>
    <w:rsid w:val="0068345F"/>
    <w:rsid w:val="00683B27"/>
    <w:rsid w:val="00683B8A"/>
    <w:rsid w:val="00687081"/>
    <w:rsid w:val="00687FEB"/>
    <w:rsid w:val="0069046B"/>
    <w:rsid w:val="0069083C"/>
    <w:rsid w:val="00693171"/>
    <w:rsid w:val="00696F73"/>
    <w:rsid w:val="006A085C"/>
    <w:rsid w:val="006A1E84"/>
    <w:rsid w:val="006A3A35"/>
    <w:rsid w:val="006A453F"/>
    <w:rsid w:val="006A62CD"/>
    <w:rsid w:val="006A6B27"/>
    <w:rsid w:val="006A6EE8"/>
    <w:rsid w:val="006A76CE"/>
    <w:rsid w:val="006A7AB0"/>
    <w:rsid w:val="006A7AB5"/>
    <w:rsid w:val="006B197B"/>
    <w:rsid w:val="006C0CCB"/>
    <w:rsid w:val="006D44CE"/>
    <w:rsid w:val="006D5FB6"/>
    <w:rsid w:val="006D6ED2"/>
    <w:rsid w:val="006E4038"/>
    <w:rsid w:val="006E4C03"/>
    <w:rsid w:val="006E5897"/>
    <w:rsid w:val="006E6A0A"/>
    <w:rsid w:val="006E7B6E"/>
    <w:rsid w:val="006F000F"/>
    <w:rsid w:val="007001DD"/>
    <w:rsid w:val="007002E4"/>
    <w:rsid w:val="00705050"/>
    <w:rsid w:val="0071009F"/>
    <w:rsid w:val="00713935"/>
    <w:rsid w:val="00714F3E"/>
    <w:rsid w:val="0071606C"/>
    <w:rsid w:val="00720AC0"/>
    <w:rsid w:val="00723192"/>
    <w:rsid w:val="00724F33"/>
    <w:rsid w:val="00727F86"/>
    <w:rsid w:val="00733584"/>
    <w:rsid w:val="007375F2"/>
    <w:rsid w:val="00740083"/>
    <w:rsid w:val="00740B48"/>
    <w:rsid w:val="007433EA"/>
    <w:rsid w:val="00745FAB"/>
    <w:rsid w:val="0074652A"/>
    <w:rsid w:val="00746DB5"/>
    <w:rsid w:val="007477E2"/>
    <w:rsid w:val="00757FA1"/>
    <w:rsid w:val="0076332B"/>
    <w:rsid w:val="00766332"/>
    <w:rsid w:val="0076716A"/>
    <w:rsid w:val="007729B3"/>
    <w:rsid w:val="00775DED"/>
    <w:rsid w:val="00780D54"/>
    <w:rsid w:val="007927C7"/>
    <w:rsid w:val="007A0226"/>
    <w:rsid w:val="007A6AEA"/>
    <w:rsid w:val="007B430A"/>
    <w:rsid w:val="007B6EC8"/>
    <w:rsid w:val="007C1A72"/>
    <w:rsid w:val="007C1CBF"/>
    <w:rsid w:val="007C26E7"/>
    <w:rsid w:val="007C66C1"/>
    <w:rsid w:val="007C6802"/>
    <w:rsid w:val="007E1935"/>
    <w:rsid w:val="007E2BC6"/>
    <w:rsid w:val="007E33DC"/>
    <w:rsid w:val="007E56A5"/>
    <w:rsid w:val="007E5BDB"/>
    <w:rsid w:val="007E7035"/>
    <w:rsid w:val="007E706A"/>
    <w:rsid w:val="007F009B"/>
    <w:rsid w:val="007F11DB"/>
    <w:rsid w:val="007F11F4"/>
    <w:rsid w:val="007F2F5D"/>
    <w:rsid w:val="007F4128"/>
    <w:rsid w:val="0080410A"/>
    <w:rsid w:val="00806F35"/>
    <w:rsid w:val="008074C2"/>
    <w:rsid w:val="00810079"/>
    <w:rsid w:val="0081060A"/>
    <w:rsid w:val="00810D6C"/>
    <w:rsid w:val="008143A6"/>
    <w:rsid w:val="00815C08"/>
    <w:rsid w:val="0082204C"/>
    <w:rsid w:val="008231CA"/>
    <w:rsid w:val="00824DF9"/>
    <w:rsid w:val="008252B1"/>
    <w:rsid w:val="00826092"/>
    <w:rsid w:val="0082729A"/>
    <w:rsid w:val="00827DEE"/>
    <w:rsid w:val="00830C63"/>
    <w:rsid w:val="00832C95"/>
    <w:rsid w:val="008355C0"/>
    <w:rsid w:val="00836E49"/>
    <w:rsid w:val="00837256"/>
    <w:rsid w:val="00837490"/>
    <w:rsid w:val="008436D9"/>
    <w:rsid w:val="008447F2"/>
    <w:rsid w:val="008529FE"/>
    <w:rsid w:val="0085619B"/>
    <w:rsid w:val="008561FC"/>
    <w:rsid w:val="00856D14"/>
    <w:rsid w:val="008631A5"/>
    <w:rsid w:val="00866210"/>
    <w:rsid w:val="00866A63"/>
    <w:rsid w:val="00867526"/>
    <w:rsid w:val="00875148"/>
    <w:rsid w:val="00875CF6"/>
    <w:rsid w:val="0088542F"/>
    <w:rsid w:val="00890838"/>
    <w:rsid w:val="00896A59"/>
    <w:rsid w:val="00897D6F"/>
    <w:rsid w:val="00897E89"/>
    <w:rsid w:val="008A35B6"/>
    <w:rsid w:val="008B0FB9"/>
    <w:rsid w:val="008B3EE4"/>
    <w:rsid w:val="008C2CE3"/>
    <w:rsid w:val="008C2E99"/>
    <w:rsid w:val="008C4165"/>
    <w:rsid w:val="008D07C4"/>
    <w:rsid w:val="008D3F30"/>
    <w:rsid w:val="008E0A7E"/>
    <w:rsid w:val="008E52BD"/>
    <w:rsid w:val="008F1320"/>
    <w:rsid w:val="008F4D80"/>
    <w:rsid w:val="009019E1"/>
    <w:rsid w:val="009040E2"/>
    <w:rsid w:val="009060C9"/>
    <w:rsid w:val="009117E9"/>
    <w:rsid w:val="00912A3C"/>
    <w:rsid w:val="00914A34"/>
    <w:rsid w:val="0091570B"/>
    <w:rsid w:val="009159DE"/>
    <w:rsid w:val="0091610E"/>
    <w:rsid w:val="009169C5"/>
    <w:rsid w:val="00917CB0"/>
    <w:rsid w:val="00921B09"/>
    <w:rsid w:val="00925021"/>
    <w:rsid w:val="00931F23"/>
    <w:rsid w:val="00933A0B"/>
    <w:rsid w:val="0093444B"/>
    <w:rsid w:val="00936002"/>
    <w:rsid w:val="00940BF9"/>
    <w:rsid w:val="0094115D"/>
    <w:rsid w:val="00947182"/>
    <w:rsid w:val="00947ACC"/>
    <w:rsid w:val="00951BCA"/>
    <w:rsid w:val="009522E4"/>
    <w:rsid w:val="00952416"/>
    <w:rsid w:val="00952E16"/>
    <w:rsid w:val="00954E4C"/>
    <w:rsid w:val="00963972"/>
    <w:rsid w:val="00965075"/>
    <w:rsid w:val="00966931"/>
    <w:rsid w:val="00971E32"/>
    <w:rsid w:val="00972CEA"/>
    <w:rsid w:val="0097482F"/>
    <w:rsid w:val="00980561"/>
    <w:rsid w:val="009823EA"/>
    <w:rsid w:val="00986644"/>
    <w:rsid w:val="00986E8F"/>
    <w:rsid w:val="00987037"/>
    <w:rsid w:val="00987305"/>
    <w:rsid w:val="00990BF5"/>
    <w:rsid w:val="00992C96"/>
    <w:rsid w:val="00992F5B"/>
    <w:rsid w:val="00993705"/>
    <w:rsid w:val="00994EF2"/>
    <w:rsid w:val="009950B8"/>
    <w:rsid w:val="00995B8B"/>
    <w:rsid w:val="0099635A"/>
    <w:rsid w:val="00997B12"/>
    <w:rsid w:val="009A5514"/>
    <w:rsid w:val="009A590D"/>
    <w:rsid w:val="009B38E5"/>
    <w:rsid w:val="009B45C4"/>
    <w:rsid w:val="009B4919"/>
    <w:rsid w:val="009B6197"/>
    <w:rsid w:val="009B76F4"/>
    <w:rsid w:val="009C1872"/>
    <w:rsid w:val="009C215E"/>
    <w:rsid w:val="009C6DFE"/>
    <w:rsid w:val="009D1CA1"/>
    <w:rsid w:val="009D40C4"/>
    <w:rsid w:val="009D6994"/>
    <w:rsid w:val="009D6AFF"/>
    <w:rsid w:val="009E0CF6"/>
    <w:rsid w:val="009E13A9"/>
    <w:rsid w:val="009E31E5"/>
    <w:rsid w:val="009E3CF3"/>
    <w:rsid w:val="009E3D95"/>
    <w:rsid w:val="009E419D"/>
    <w:rsid w:val="009E64A2"/>
    <w:rsid w:val="009E77B9"/>
    <w:rsid w:val="009E7F3D"/>
    <w:rsid w:val="009F0589"/>
    <w:rsid w:val="009F609B"/>
    <w:rsid w:val="009F66BD"/>
    <w:rsid w:val="00A01C31"/>
    <w:rsid w:val="00A0234C"/>
    <w:rsid w:val="00A044C1"/>
    <w:rsid w:val="00A05881"/>
    <w:rsid w:val="00A064F8"/>
    <w:rsid w:val="00A07F9E"/>
    <w:rsid w:val="00A1482E"/>
    <w:rsid w:val="00A1496E"/>
    <w:rsid w:val="00A14C32"/>
    <w:rsid w:val="00A2153E"/>
    <w:rsid w:val="00A21A5A"/>
    <w:rsid w:val="00A22A65"/>
    <w:rsid w:val="00A22EA6"/>
    <w:rsid w:val="00A237CF"/>
    <w:rsid w:val="00A306A5"/>
    <w:rsid w:val="00A3089B"/>
    <w:rsid w:val="00A31EE7"/>
    <w:rsid w:val="00A33016"/>
    <w:rsid w:val="00A34ED3"/>
    <w:rsid w:val="00A42820"/>
    <w:rsid w:val="00A429C4"/>
    <w:rsid w:val="00A44863"/>
    <w:rsid w:val="00A46293"/>
    <w:rsid w:val="00A4773D"/>
    <w:rsid w:val="00A51132"/>
    <w:rsid w:val="00A51648"/>
    <w:rsid w:val="00A533B9"/>
    <w:rsid w:val="00A54B76"/>
    <w:rsid w:val="00A55C83"/>
    <w:rsid w:val="00A61546"/>
    <w:rsid w:val="00A622B1"/>
    <w:rsid w:val="00A72EA1"/>
    <w:rsid w:val="00A73254"/>
    <w:rsid w:val="00A734D0"/>
    <w:rsid w:val="00A74BC1"/>
    <w:rsid w:val="00A77637"/>
    <w:rsid w:val="00A82101"/>
    <w:rsid w:val="00A8243A"/>
    <w:rsid w:val="00A850E6"/>
    <w:rsid w:val="00A86449"/>
    <w:rsid w:val="00A95471"/>
    <w:rsid w:val="00AA3E84"/>
    <w:rsid w:val="00AA3F5E"/>
    <w:rsid w:val="00AB2C69"/>
    <w:rsid w:val="00AB322B"/>
    <w:rsid w:val="00AB41BE"/>
    <w:rsid w:val="00AB5921"/>
    <w:rsid w:val="00AB6007"/>
    <w:rsid w:val="00AB6EEE"/>
    <w:rsid w:val="00AB72CD"/>
    <w:rsid w:val="00AC72FA"/>
    <w:rsid w:val="00AD1AE0"/>
    <w:rsid w:val="00AD3553"/>
    <w:rsid w:val="00AD4B93"/>
    <w:rsid w:val="00AD61DC"/>
    <w:rsid w:val="00AD7164"/>
    <w:rsid w:val="00AE4324"/>
    <w:rsid w:val="00AE4E01"/>
    <w:rsid w:val="00AE770F"/>
    <w:rsid w:val="00AF06ED"/>
    <w:rsid w:val="00AF0DC0"/>
    <w:rsid w:val="00AF131A"/>
    <w:rsid w:val="00AF2205"/>
    <w:rsid w:val="00AF22A5"/>
    <w:rsid w:val="00AF2734"/>
    <w:rsid w:val="00AF30E2"/>
    <w:rsid w:val="00AF4023"/>
    <w:rsid w:val="00AF7BE6"/>
    <w:rsid w:val="00B02048"/>
    <w:rsid w:val="00B02A08"/>
    <w:rsid w:val="00B0402D"/>
    <w:rsid w:val="00B05CD2"/>
    <w:rsid w:val="00B06637"/>
    <w:rsid w:val="00B077CD"/>
    <w:rsid w:val="00B07981"/>
    <w:rsid w:val="00B12F21"/>
    <w:rsid w:val="00B137D4"/>
    <w:rsid w:val="00B13D19"/>
    <w:rsid w:val="00B25403"/>
    <w:rsid w:val="00B27EDF"/>
    <w:rsid w:val="00B302A7"/>
    <w:rsid w:val="00B33B0D"/>
    <w:rsid w:val="00B34A4A"/>
    <w:rsid w:val="00B34FC6"/>
    <w:rsid w:val="00B355CB"/>
    <w:rsid w:val="00B35BC9"/>
    <w:rsid w:val="00B400E2"/>
    <w:rsid w:val="00B42C06"/>
    <w:rsid w:val="00B542C9"/>
    <w:rsid w:val="00B5685D"/>
    <w:rsid w:val="00B603CD"/>
    <w:rsid w:val="00B63512"/>
    <w:rsid w:val="00B63D4E"/>
    <w:rsid w:val="00B64C40"/>
    <w:rsid w:val="00B65368"/>
    <w:rsid w:val="00B765EB"/>
    <w:rsid w:val="00B8028F"/>
    <w:rsid w:val="00B81F5D"/>
    <w:rsid w:val="00B82469"/>
    <w:rsid w:val="00B82678"/>
    <w:rsid w:val="00B85FC8"/>
    <w:rsid w:val="00B90249"/>
    <w:rsid w:val="00B91438"/>
    <w:rsid w:val="00BA05CF"/>
    <w:rsid w:val="00BA3443"/>
    <w:rsid w:val="00BB05B6"/>
    <w:rsid w:val="00BB225B"/>
    <w:rsid w:val="00BB361C"/>
    <w:rsid w:val="00BB3A07"/>
    <w:rsid w:val="00BB50B0"/>
    <w:rsid w:val="00BB54CF"/>
    <w:rsid w:val="00BB7B67"/>
    <w:rsid w:val="00BC3D8F"/>
    <w:rsid w:val="00BC716B"/>
    <w:rsid w:val="00BD1439"/>
    <w:rsid w:val="00BD46BF"/>
    <w:rsid w:val="00BD4849"/>
    <w:rsid w:val="00BD5291"/>
    <w:rsid w:val="00BD5510"/>
    <w:rsid w:val="00BE0AE6"/>
    <w:rsid w:val="00BE0FFC"/>
    <w:rsid w:val="00BE1F78"/>
    <w:rsid w:val="00BE2932"/>
    <w:rsid w:val="00BE5C5F"/>
    <w:rsid w:val="00BE6A6D"/>
    <w:rsid w:val="00BE75F4"/>
    <w:rsid w:val="00BF18DD"/>
    <w:rsid w:val="00BF597B"/>
    <w:rsid w:val="00BF5FA1"/>
    <w:rsid w:val="00BF6D6B"/>
    <w:rsid w:val="00BF72F9"/>
    <w:rsid w:val="00BF7FE4"/>
    <w:rsid w:val="00C00FDD"/>
    <w:rsid w:val="00C0160A"/>
    <w:rsid w:val="00C03C71"/>
    <w:rsid w:val="00C070DA"/>
    <w:rsid w:val="00C07305"/>
    <w:rsid w:val="00C15912"/>
    <w:rsid w:val="00C164B4"/>
    <w:rsid w:val="00C21214"/>
    <w:rsid w:val="00C26C04"/>
    <w:rsid w:val="00C27569"/>
    <w:rsid w:val="00C27BCD"/>
    <w:rsid w:val="00C303BC"/>
    <w:rsid w:val="00C34461"/>
    <w:rsid w:val="00C34E62"/>
    <w:rsid w:val="00C43BFB"/>
    <w:rsid w:val="00C507AB"/>
    <w:rsid w:val="00C55FA0"/>
    <w:rsid w:val="00C5753D"/>
    <w:rsid w:val="00C605D2"/>
    <w:rsid w:val="00C61FB6"/>
    <w:rsid w:val="00C625BB"/>
    <w:rsid w:val="00C6312C"/>
    <w:rsid w:val="00C73C17"/>
    <w:rsid w:val="00C77FD4"/>
    <w:rsid w:val="00C80AC0"/>
    <w:rsid w:val="00C816AF"/>
    <w:rsid w:val="00C8193B"/>
    <w:rsid w:val="00C83A32"/>
    <w:rsid w:val="00C83EB2"/>
    <w:rsid w:val="00C8444E"/>
    <w:rsid w:val="00C84498"/>
    <w:rsid w:val="00C84A52"/>
    <w:rsid w:val="00C84ACF"/>
    <w:rsid w:val="00C869F5"/>
    <w:rsid w:val="00C86EF2"/>
    <w:rsid w:val="00C90799"/>
    <w:rsid w:val="00C91B6F"/>
    <w:rsid w:val="00C935F2"/>
    <w:rsid w:val="00C936F3"/>
    <w:rsid w:val="00C94096"/>
    <w:rsid w:val="00C949DB"/>
    <w:rsid w:val="00C965F3"/>
    <w:rsid w:val="00CA20F4"/>
    <w:rsid w:val="00CA3C86"/>
    <w:rsid w:val="00CA4148"/>
    <w:rsid w:val="00CB1980"/>
    <w:rsid w:val="00CB2118"/>
    <w:rsid w:val="00CB289D"/>
    <w:rsid w:val="00CB32E7"/>
    <w:rsid w:val="00CC5031"/>
    <w:rsid w:val="00CD1AD3"/>
    <w:rsid w:val="00CD2570"/>
    <w:rsid w:val="00CD5DF3"/>
    <w:rsid w:val="00CD5FC3"/>
    <w:rsid w:val="00CE1236"/>
    <w:rsid w:val="00CE4316"/>
    <w:rsid w:val="00CE656D"/>
    <w:rsid w:val="00CF22D0"/>
    <w:rsid w:val="00CF3E1A"/>
    <w:rsid w:val="00CF703E"/>
    <w:rsid w:val="00D00E1F"/>
    <w:rsid w:val="00D011B7"/>
    <w:rsid w:val="00D03CC6"/>
    <w:rsid w:val="00D0645E"/>
    <w:rsid w:val="00D1128F"/>
    <w:rsid w:val="00D12C83"/>
    <w:rsid w:val="00D1729C"/>
    <w:rsid w:val="00D212DF"/>
    <w:rsid w:val="00D22923"/>
    <w:rsid w:val="00D25D23"/>
    <w:rsid w:val="00D273F2"/>
    <w:rsid w:val="00D306A4"/>
    <w:rsid w:val="00D3530B"/>
    <w:rsid w:val="00D4677B"/>
    <w:rsid w:val="00D47315"/>
    <w:rsid w:val="00D47318"/>
    <w:rsid w:val="00D51393"/>
    <w:rsid w:val="00D517D2"/>
    <w:rsid w:val="00D57C72"/>
    <w:rsid w:val="00D606AC"/>
    <w:rsid w:val="00D614BE"/>
    <w:rsid w:val="00D63BBD"/>
    <w:rsid w:val="00D667AA"/>
    <w:rsid w:val="00D7442C"/>
    <w:rsid w:val="00D74498"/>
    <w:rsid w:val="00D77A1F"/>
    <w:rsid w:val="00D815C1"/>
    <w:rsid w:val="00D866F6"/>
    <w:rsid w:val="00D90DD5"/>
    <w:rsid w:val="00D91448"/>
    <w:rsid w:val="00D920B2"/>
    <w:rsid w:val="00D92BDE"/>
    <w:rsid w:val="00D93505"/>
    <w:rsid w:val="00D94879"/>
    <w:rsid w:val="00D94C4E"/>
    <w:rsid w:val="00D96667"/>
    <w:rsid w:val="00D96B0B"/>
    <w:rsid w:val="00D970FB"/>
    <w:rsid w:val="00D97E74"/>
    <w:rsid w:val="00DA001C"/>
    <w:rsid w:val="00DA07B1"/>
    <w:rsid w:val="00DA08E3"/>
    <w:rsid w:val="00DA2336"/>
    <w:rsid w:val="00DA3784"/>
    <w:rsid w:val="00DA567D"/>
    <w:rsid w:val="00DA72CD"/>
    <w:rsid w:val="00DB140C"/>
    <w:rsid w:val="00DB3A94"/>
    <w:rsid w:val="00DB5994"/>
    <w:rsid w:val="00DB60E2"/>
    <w:rsid w:val="00DC142A"/>
    <w:rsid w:val="00DC43C8"/>
    <w:rsid w:val="00DC5DB3"/>
    <w:rsid w:val="00DC7760"/>
    <w:rsid w:val="00DD3DEA"/>
    <w:rsid w:val="00DD3E0B"/>
    <w:rsid w:val="00DD6215"/>
    <w:rsid w:val="00DD7DC6"/>
    <w:rsid w:val="00DE020A"/>
    <w:rsid w:val="00DE31B5"/>
    <w:rsid w:val="00DE44B4"/>
    <w:rsid w:val="00DE71E1"/>
    <w:rsid w:val="00DE7BAD"/>
    <w:rsid w:val="00DF0786"/>
    <w:rsid w:val="00DF3640"/>
    <w:rsid w:val="00DF3DC7"/>
    <w:rsid w:val="00DF4889"/>
    <w:rsid w:val="00DF4D9B"/>
    <w:rsid w:val="00DF5684"/>
    <w:rsid w:val="00DF5B7C"/>
    <w:rsid w:val="00E01095"/>
    <w:rsid w:val="00E03F0A"/>
    <w:rsid w:val="00E04964"/>
    <w:rsid w:val="00E05610"/>
    <w:rsid w:val="00E0758C"/>
    <w:rsid w:val="00E16042"/>
    <w:rsid w:val="00E22FCC"/>
    <w:rsid w:val="00E26A28"/>
    <w:rsid w:val="00E30510"/>
    <w:rsid w:val="00E320F0"/>
    <w:rsid w:val="00E33491"/>
    <w:rsid w:val="00E340F7"/>
    <w:rsid w:val="00E44611"/>
    <w:rsid w:val="00E53AB8"/>
    <w:rsid w:val="00E54304"/>
    <w:rsid w:val="00E54C21"/>
    <w:rsid w:val="00E55922"/>
    <w:rsid w:val="00E55F37"/>
    <w:rsid w:val="00E56863"/>
    <w:rsid w:val="00E60768"/>
    <w:rsid w:val="00E61B3B"/>
    <w:rsid w:val="00E67DC1"/>
    <w:rsid w:val="00E719E6"/>
    <w:rsid w:val="00E723BF"/>
    <w:rsid w:val="00E73234"/>
    <w:rsid w:val="00E73D34"/>
    <w:rsid w:val="00E75F49"/>
    <w:rsid w:val="00E77904"/>
    <w:rsid w:val="00E81D8F"/>
    <w:rsid w:val="00E823D8"/>
    <w:rsid w:val="00E82E41"/>
    <w:rsid w:val="00E9031F"/>
    <w:rsid w:val="00E91CFE"/>
    <w:rsid w:val="00E931EE"/>
    <w:rsid w:val="00EA17EB"/>
    <w:rsid w:val="00EA26C7"/>
    <w:rsid w:val="00EA5D0E"/>
    <w:rsid w:val="00EA7BF1"/>
    <w:rsid w:val="00EB5E48"/>
    <w:rsid w:val="00EB7A78"/>
    <w:rsid w:val="00EC16C7"/>
    <w:rsid w:val="00EC2D7E"/>
    <w:rsid w:val="00EC64EB"/>
    <w:rsid w:val="00ED5A5C"/>
    <w:rsid w:val="00EE0834"/>
    <w:rsid w:val="00EE2748"/>
    <w:rsid w:val="00EE3CFA"/>
    <w:rsid w:val="00EE4D7B"/>
    <w:rsid w:val="00EE596D"/>
    <w:rsid w:val="00EF10EE"/>
    <w:rsid w:val="00EF367C"/>
    <w:rsid w:val="00EF516E"/>
    <w:rsid w:val="00EF5E75"/>
    <w:rsid w:val="00EF7131"/>
    <w:rsid w:val="00F00505"/>
    <w:rsid w:val="00F02B6B"/>
    <w:rsid w:val="00F03C98"/>
    <w:rsid w:val="00F042E2"/>
    <w:rsid w:val="00F06DE5"/>
    <w:rsid w:val="00F071E6"/>
    <w:rsid w:val="00F21D32"/>
    <w:rsid w:val="00F21E10"/>
    <w:rsid w:val="00F23235"/>
    <w:rsid w:val="00F24A1B"/>
    <w:rsid w:val="00F33259"/>
    <w:rsid w:val="00F374F3"/>
    <w:rsid w:val="00F424DD"/>
    <w:rsid w:val="00F45ADA"/>
    <w:rsid w:val="00F46AC8"/>
    <w:rsid w:val="00F47EE9"/>
    <w:rsid w:val="00F50E7B"/>
    <w:rsid w:val="00F521E5"/>
    <w:rsid w:val="00F52778"/>
    <w:rsid w:val="00F529B7"/>
    <w:rsid w:val="00F53E21"/>
    <w:rsid w:val="00F55BB0"/>
    <w:rsid w:val="00F567CE"/>
    <w:rsid w:val="00F56E72"/>
    <w:rsid w:val="00F60B53"/>
    <w:rsid w:val="00F635D4"/>
    <w:rsid w:val="00F654A9"/>
    <w:rsid w:val="00F67CC5"/>
    <w:rsid w:val="00F7569F"/>
    <w:rsid w:val="00F77BDC"/>
    <w:rsid w:val="00F83632"/>
    <w:rsid w:val="00F857A5"/>
    <w:rsid w:val="00F858D2"/>
    <w:rsid w:val="00F8686B"/>
    <w:rsid w:val="00F86D26"/>
    <w:rsid w:val="00F91F95"/>
    <w:rsid w:val="00F92DFB"/>
    <w:rsid w:val="00FA4F5A"/>
    <w:rsid w:val="00FA7380"/>
    <w:rsid w:val="00FB1469"/>
    <w:rsid w:val="00FB5FCA"/>
    <w:rsid w:val="00FB700C"/>
    <w:rsid w:val="00FB76C0"/>
    <w:rsid w:val="00FC27E1"/>
    <w:rsid w:val="00FC62D1"/>
    <w:rsid w:val="00FC7673"/>
    <w:rsid w:val="00FD0DBC"/>
    <w:rsid w:val="00FD742E"/>
    <w:rsid w:val="00FE0D06"/>
    <w:rsid w:val="00FF15DD"/>
    <w:rsid w:val="00FF350D"/>
    <w:rsid w:val="00FF4C82"/>
    <w:rsid w:val="00FF5A8F"/>
    <w:rsid w:val="00FF613F"/>
    <w:rsid w:val="00FF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16"/>
  <w15:docId w15:val="{303001BD-B6E6-7945-AAB4-F59FEA76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32"/>
  </w:style>
  <w:style w:type="paragraph" w:styleId="1">
    <w:name w:val="heading 1"/>
    <w:basedOn w:val="a"/>
    <w:next w:val="a"/>
    <w:link w:val="10"/>
    <w:qFormat/>
    <w:rsid w:val="0026145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64CA"/>
    <w:rPr>
      <w:b/>
      <w:bCs/>
    </w:rPr>
  </w:style>
  <w:style w:type="paragraph" w:customStyle="1" w:styleId="11">
    <w:name w:val="Заголовок1"/>
    <w:basedOn w:val="a"/>
    <w:next w:val="a4"/>
    <w:rsid w:val="000F64CA"/>
    <w:pPr>
      <w:keepNext/>
      <w:suppressAutoHyphens/>
      <w:spacing w:before="240" w:after="120" w:line="240" w:lineRule="auto"/>
    </w:pPr>
    <w:rPr>
      <w:rFonts w:ascii="Arial" w:eastAsia="Microsoft YaHei" w:hAnsi="Arial" w:cs="Mangal"/>
      <w:sz w:val="28"/>
      <w:szCs w:val="28"/>
      <w:lang w:val="uk-UA" w:eastAsia="ar-SA"/>
    </w:rPr>
  </w:style>
  <w:style w:type="paragraph" w:styleId="a4">
    <w:name w:val="Body Text"/>
    <w:basedOn w:val="a"/>
    <w:link w:val="a5"/>
    <w:unhideWhenUsed/>
    <w:rsid w:val="000F64CA"/>
    <w:pPr>
      <w:spacing w:after="120"/>
    </w:pPr>
  </w:style>
  <w:style w:type="character" w:customStyle="1" w:styleId="a5">
    <w:name w:val="Основной текст Знак"/>
    <w:basedOn w:val="a0"/>
    <w:link w:val="a4"/>
    <w:rsid w:val="000F64CA"/>
  </w:style>
  <w:style w:type="paragraph" w:customStyle="1" w:styleId="Standard">
    <w:name w:val="Standard"/>
    <w:rsid w:val="00060D02"/>
    <w:pPr>
      <w:widowControl w:val="0"/>
      <w:suppressAutoHyphens/>
      <w:spacing w:after="0" w:line="240" w:lineRule="auto"/>
      <w:textAlignment w:val="baseline"/>
    </w:pPr>
    <w:rPr>
      <w:rFonts w:ascii="Times New Roman" w:eastAsia="Arial Unicode MS" w:hAnsi="Times New Roman" w:cs="Mangal"/>
      <w:kern w:val="1"/>
      <w:sz w:val="24"/>
      <w:szCs w:val="24"/>
      <w:lang w:eastAsia="hi-IN" w:bidi="hi-IN"/>
    </w:rPr>
  </w:style>
  <w:style w:type="table" w:styleId="a6">
    <w:name w:val="Table Grid"/>
    <w:basedOn w:val="a1"/>
    <w:uiPriority w:val="39"/>
    <w:rsid w:val="00060D02"/>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810079"/>
    <w:rPr>
      <w:color w:val="0000FF"/>
      <w:u w:val="single"/>
    </w:rPr>
  </w:style>
  <w:style w:type="character" w:customStyle="1" w:styleId="10">
    <w:name w:val="Заголовок 1 Знак"/>
    <w:basedOn w:val="a0"/>
    <w:link w:val="1"/>
    <w:rsid w:val="0026145A"/>
    <w:rPr>
      <w:rFonts w:ascii="Arial" w:eastAsia="Times New Roman" w:hAnsi="Arial" w:cs="Arial"/>
      <w:b/>
      <w:bCs/>
      <w:kern w:val="32"/>
      <w:sz w:val="32"/>
      <w:szCs w:val="32"/>
    </w:rPr>
  </w:style>
  <w:style w:type="paragraph" w:customStyle="1" w:styleId="xl66">
    <w:name w:val="xl66"/>
    <w:basedOn w:val="a"/>
    <w:rsid w:val="00BF5FA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Default">
    <w:name w:val="Default"/>
    <w:uiPriority w:val="99"/>
    <w:rsid w:val="00BF5FA1"/>
    <w:pPr>
      <w:suppressAutoHyphens/>
      <w:spacing w:after="0" w:line="240" w:lineRule="auto"/>
    </w:pPr>
    <w:rPr>
      <w:rFonts w:ascii="Courier New" w:eastAsia="Times New Roman" w:hAnsi="Courier New" w:cs="Courier New"/>
      <w:color w:val="000000"/>
      <w:sz w:val="24"/>
      <w:szCs w:val="20"/>
      <w:lang w:eastAsia="ar-SA"/>
    </w:rPr>
  </w:style>
  <w:style w:type="paragraph" w:customStyle="1" w:styleId="12">
    <w:name w:val="Текст1"/>
    <w:basedOn w:val="a"/>
    <w:rsid w:val="00AF131A"/>
    <w:pPr>
      <w:suppressAutoHyphens/>
      <w:spacing w:after="0" w:line="240" w:lineRule="auto"/>
    </w:pPr>
    <w:rPr>
      <w:rFonts w:ascii="Courier New" w:eastAsia="Times New Roman" w:hAnsi="Courier New" w:cs="Courier New"/>
      <w:sz w:val="20"/>
      <w:szCs w:val="20"/>
      <w:lang w:eastAsia="ar-SA"/>
    </w:rPr>
  </w:style>
  <w:style w:type="paragraph" w:styleId="a8">
    <w:name w:val="header"/>
    <w:basedOn w:val="a"/>
    <w:link w:val="a9"/>
    <w:uiPriority w:val="99"/>
    <w:semiHidden/>
    <w:unhideWhenUsed/>
    <w:rsid w:val="000A74A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A74AD"/>
  </w:style>
  <w:style w:type="paragraph" w:styleId="aa">
    <w:name w:val="footer"/>
    <w:basedOn w:val="a"/>
    <w:link w:val="ab"/>
    <w:uiPriority w:val="99"/>
    <w:unhideWhenUsed/>
    <w:rsid w:val="000A74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74AD"/>
  </w:style>
  <w:style w:type="paragraph" w:customStyle="1" w:styleId="25">
    <w:name w:val="???????? ????? ? ???????? 25"/>
    <w:basedOn w:val="a"/>
    <w:rsid w:val="001D2C47"/>
    <w:pPr>
      <w:suppressAutoHyphens/>
      <w:spacing w:after="0" w:line="240" w:lineRule="auto"/>
      <w:ind w:firstLine="851"/>
      <w:jc w:val="both"/>
    </w:pPr>
    <w:rPr>
      <w:rFonts w:ascii="Times New Roman" w:eastAsia="Times New Roman" w:hAnsi="Times New Roman" w:cs="Times New Roman"/>
      <w:color w:val="000000"/>
      <w:sz w:val="24"/>
      <w:szCs w:val="20"/>
      <w:lang w:eastAsia="ar-SA"/>
    </w:rPr>
  </w:style>
  <w:style w:type="paragraph" w:styleId="ac">
    <w:name w:val="Body Text Indent"/>
    <w:basedOn w:val="a"/>
    <w:link w:val="ad"/>
    <w:uiPriority w:val="99"/>
    <w:semiHidden/>
    <w:unhideWhenUsed/>
    <w:rsid w:val="0035520A"/>
    <w:pPr>
      <w:spacing w:after="120"/>
      <w:ind w:left="283"/>
    </w:pPr>
  </w:style>
  <w:style w:type="character" w:customStyle="1" w:styleId="ad">
    <w:name w:val="Основной текст с отступом Знак"/>
    <w:basedOn w:val="a0"/>
    <w:link w:val="ac"/>
    <w:uiPriority w:val="99"/>
    <w:semiHidden/>
    <w:rsid w:val="0035520A"/>
  </w:style>
  <w:style w:type="paragraph" w:styleId="ae">
    <w:name w:val="List Paragraph"/>
    <w:basedOn w:val="a"/>
    <w:link w:val="af"/>
    <w:uiPriority w:val="34"/>
    <w:qFormat/>
    <w:rsid w:val="00D74498"/>
    <w:pPr>
      <w:ind w:left="720"/>
      <w:contextualSpacing/>
    </w:pPr>
  </w:style>
  <w:style w:type="paragraph" w:customStyle="1" w:styleId="rvps2">
    <w:name w:val="rvps2"/>
    <w:basedOn w:val="a"/>
    <w:rsid w:val="0076633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7663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umberheading1">
    <w:name w:val="Number heading 1"/>
    <w:basedOn w:val="a"/>
    <w:rsid w:val="00AB5921"/>
    <w:pPr>
      <w:keepLines/>
      <w:numPr>
        <w:numId w:val="9"/>
      </w:numPr>
      <w:spacing w:after="0" w:line="240" w:lineRule="auto"/>
    </w:pPr>
    <w:rPr>
      <w:rFonts w:ascii="Arial Black" w:eastAsia="Times New Roman" w:hAnsi="Arial Black" w:cs="Garamond"/>
      <w:sz w:val="19"/>
      <w:szCs w:val="19"/>
      <w:lang w:val="en-GB" w:eastAsia="en-US"/>
    </w:rPr>
  </w:style>
  <w:style w:type="paragraph" w:styleId="af1">
    <w:name w:val="Balloon Text"/>
    <w:basedOn w:val="a"/>
    <w:link w:val="af2"/>
    <w:uiPriority w:val="99"/>
    <w:semiHidden/>
    <w:unhideWhenUsed/>
    <w:rsid w:val="00316C0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16C0C"/>
    <w:rPr>
      <w:rFonts w:ascii="Tahoma" w:hAnsi="Tahoma" w:cs="Tahoma"/>
      <w:sz w:val="16"/>
      <w:szCs w:val="16"/>
    </w:rPr>
  </w:style>
  <w:style w:type="paragraph" w:customStyle="1" w:styleId="TableParagraph">
    <w:name w:val="Table Paragraph"/>
    <w:basedOn w:val="a"/>
    <w:uiPriority w:val="1"/>
    <w:qFormat/>
    <w:rsid w:val="001E7AD0"/>
    <w:pPr>
      <w:widowControl w:val="0"/>
      <w:autoSpaceDE w:val="0"/>
      <w:autoSpaceDN w:val="0"/>
      <w:spacing w:after="0" w:line="240" w:lineRule="auto"/>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7E33D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af">
    <w:name w:val="Абзац списка Знак"/>
    <w:link w:val="ae"/>
    <w:uiPriority w:val="34"/>
    <w:rsid w:val="00AF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3244">
      <w:bodyDiv w:val="1"/>
      <w:marLeft w:val="0"/>
      <w:marRight w:val="0"/>
      <w:marTop w:val="0"/>
      <w:marBottom w:val="0"/>
      <w:divBdr>
        <w:top w:val="none" w:sz="0" w:space="0" w:color="auto"/>
        <w:left w:val="none" w:sz="0" w:space="0" w:color="auto"/>
        <w:bottom w:val="none" w:sz="0" w:space="0" w:color="auto"/>
        <w:right w:val="none" w:sz="0" w:space="0" w:color="auto"/>
      </w:divBdr>
    </w:div>
    <w:div w:id="235240703">
      <w:bodyDiv w:val="1"/>
      <w:marLeft w:val="0"/>
      <w:marRight w:val="0"/>
      <w:marTop w:val="0"/>
      <w:marBottom w:val="0"/>
      <w:divBdr>
        <w:top w:val="none" w:sz="0" w:space="0" w:color="auto"/>
        <w:left w:val="none" w:sz="0" w:space="0" w:color="auto"/>
        <w:bottom w:val="none" w:sz="0" w:space="0" w:color="auto"/>
        <w:right w:val="none" w:sz="0" w:space="0" w:color="auto"/>
      </w:divBdr>
    </w:div>
    <w:div w:id="573588021">
      <w:bodyDiv w:val="1"/>
      <w:marLeft w:val="0"/>
      <w:marRight w:val="0"/>
      <w:marTop w:val="0"/>
      <w:marBottom w:val="0"/>
      <w:divBdr>
        <w:top w:val="none" w:sz="0" w:space="0" w:color="auto"/>
        <w:left w:val="none" w:sz="0" w:space="0" w:color="auto"/>
        <w:bottom w:val="none" w:sz="0" w:space="0" w:color="auto"/>
        <w:right w:val="none" w:sz="0" w:space="0" w:color="auto"/>
      </w:divBdr>
    </w:div>
    <w:div w:id="745762946">
      <w:bodyDiv w:val="1"/>
      <w:marLeft w:val="0"/>
      <w:marRight w:val="0"/>
      <w:marTop w:val="0"/>
      <w:marBottom w:val="0"/>
      <w:divBdr>
        <w:top w:val="none" w:sz="0" w:space="0" w:color="auto"/>
        <w:left w:val="none" w:sz="0" w:space="0" w:color="auto"/>
        <w:bottom w:val="none" w:sz="0" w:space="0" w:color="auto"/>
        <w:right w:val="none" w:sz="0" w:space="0" w:color="auto"/>
      </w:divBdr>
    </w:div>
    <w:div w:id="1343584375">
      <w:bodyDiv w:val="1"/>
      <w:marLeft w:val="0"/>
      <w:marRight w:val="0"/>
      <w:marTop w:val="0"/>
      <w:marBottom w:val="0"/>
      <w:divBdr>
        <w:top w:val="none" w:sz="0" w:space="0" w:color="auto"/>
        <w:left w:val="none" w:sz="0" w:space="0" w:color="auto"/>
        <w:bottom w:val="none" w:sz="0" w:space="0" w:color="auto"/>
        <w:right w:val="none" w:sz="0" w:space="0" w:color="auto"/>
      </w:divBdr>
    </w:div>
    <w:div w:id="1378627760">
      <w:bodyDiv w:val="1"/>
      <w:marLeft w:val="0"/>
      <w:marRight w:val="0"/>
      <w:marTop w:val="0"/>
      <w:marBottom w:val="0"/>
      <w:divBdr>
        <w:top w:val="none" w:sz="0" w:space="0" w:color="auto"/>
        <w:left w:val="none" w:sz="0" w:space="0" w:color="auto"/>
        <w:bottom w:val="none" w:sz="0" w:space="0" w:color="auto"/>
        <w:right w:val="none" w:sz="0" w:space="0" w:color="auto"/>
      </w:divBdr>
      <w:divsChild>
        <w:div w:id="849829278">
          <w:marLeft w:val="0"/>
          <w:marRight w:val="0"/>
          <w:marTop w:val="0"/>
          <w:marBottom w:val="0"/>
          <w:divBdr>
            <w:top w:val="none" w:sz="0" w:space="0" w:color="auto"/>
            <w:left w:val="none" w:sz="0" w:space="0" w:color="auto"/>
            <w:bottom w:val="none" w:sz="0" w:space="0" w:color="auto"/>
            <w:right w:val="none" w:sz="0" w:space="0" w:color="auto"/>
          </w:divBdr>
        </w:div>
      </w:divsChild>
    </w:div>
    <w:div w:id="1936329451">
      <w:bodyDiv w:val="1"/>
      <w:marLeft w:val="0"/>
      <w:marRight w:val="0"/>
      <w:marTop w:val="0"/>
      <w:marBottom w:val="0"/>
      <w:divBdr>
        <w:top w:val="none" w:sz="0" w:space="0" w:color="auto"/>
        <w:left w:val="none" w:sz="0" w:space="0" w:color="auto"/>
        <w:bottom w:val="none" w:sz="0" w:space="0" w:color="auto"/>
        <w:right w:val="none" w:sz="0" w:space="0" w:color="auto"/>
      </w:divBdr>
    </w:div>
    <w:div w:id="1938562944">
      <w:bodyDiv w:val="1"/>
      <w:marLeft w:val="0"/>
      <w:marRight w:val="0"/>
      <w:marTop w:val="0"/>
      <w:marBottom w:val="0"/>
      <w:divBdr>
        <w:top w:val="none" w:sz="0" w:space="0" w:color="auto"/>
        <w:left w:val="none" w:sz="0" w:space="0" w:color="auto"/>
        <w:bottom w:val="none" w:sz="0" w:space="0" w:color="auto"/>
        <w:right w:val="none" w:sz="0" w:space="0" w:color="auto"/>
      </w:divBdr>
    </w:div>
    <w:div w:id="2064910588">
      <w:bodyDiv w:val="1"/>
      <w:marLeft w:val="0"/>
      <w:marRight w:val="0"/>
      <w:marTop w:val="0"/>
      <w:marBottom w:val="0"/>
      <w:divBdr>
        <w:top w:val="none" w:sz="0" w:space="0" w:color="auto"/>
        <w:left w:val="none" w:sz="0" w:space="0" w:color="auto"/>
        <w:bottom w:val="none" w:sz="0" w:space="0" w:color="auto"/>
        <w:right w:val="none" w:sz="0" w:space="0" w:color="auto"/>
      </w:divBdr>
      <w:divsChild>
        <w:div w:id="867329115">
          <w:marLeft w:val="0"/>
          <w:marRight w:val="0"/>
          <w:marTop w:val="0"/>
          <w:marBottom w:val="0"/>
          <w:divBdr>
            <w:top w:val="none" w:sz="0" w:space="0" w:color="auto"/>
            <w:left w:val="none" w:sz="0" w:space="0" w:color="auto"/>
            <w:bottom w:val="none" w:sz="0" w:space="0" w:color="auto"/>
            <w:right w:val="none" w:sz="0" w:space="0" w:color="auto"/>
          </w:divBdr>
        </w:div>
        <w:div w:id="660543079">
          <w:marLeft w:val="0"/>
          <w:marRight w:val="0"/>
          <w:marTop w:val="0"/>
          <w:marBottom w:val="0"/>
          <w:divBdr>
            <w:top w:val="none" w:sz="0" w:space="0" w:color="auto"/>
            <w:left w:val="none" w:sz="0" w:space="0" w:color="auto"/>
            <w:bottom w:val="none" w:sz="0" w:space="0" w:color="auto"/>
            <w:right w:val="none" w:sz="0" w:space="0" w:color="auto"/>
          </w:divBdr>
        </w:div>
        <w:div w:id="224265360">
          <w:marLeft w:val="0"/>
          <w:marRight w:val="0"/>
          <w:marTop w:val="0"/>
          <w:marBottom w:val="0"/>
          <w:divBdr>
            <w:top w:val="none" w:sz="0" w:space="0" w:color="auto"/>
            <w:left w:val="none" w:sz="0" w:space="0" w:color="auto"/>
            <w:bottom w:val="none" w:sz="0" w:space="0" w:color="auto"/>
            <w:right w:val="none" w:sz="0" w:space="0" w:color="auto"/>
          </w:divBdr>
        </w:div>
        <w:div w:id="450826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u.com.ua/1038-mizhnarodni-standarti-kontrolyu-yakosti-auditu-oglyadu-inshogo-nadannya-vpevnenosti-ta-suputnikh-poslug-vidannya-2015-r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5016-6473-4C68-A049-D02B2652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16</Pages>
  <Words>9000</Words>
  <Characters>51301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180</cp:revision>
  <cp:lastPrinted>2020-04-21T09:32:00Z</cp:lastPrinted>
  <dcterms:created xsi:type="dcterms:W3CDTF">2020-06-12T12:11:00Z</dcterms:created>
  <dcterms:modified xsi:type="dcterms:W3CDTF">2021-05-05T08:09:00Z</dcterms:modified>
</cp:coreProperties>
</file>